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4C369112" w:rsidR="00541A65" w:rsidRPr="00B266B0" w:rsidRDefault="00541A65" w:rsidP="00541A6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8C08F2">
        <w:rPr>
          <w:bCs/>
          <w:noProof w:val="0"/>
          <w:sz w:val="24"/>
          <w:szCs w:val="24"/>
        </w:rPr>
        <w:t>8555</w:t>
      </w:r>
    </w:p>
    <w:p w14:paraId="3723E1D3" w14:textId="7E8BBF6C" w:rsidR="005432D9" w:rsidRPr="00465587" w:rsidRDefault="00541A65" w:rsidP="00541A65">
      <w:pPr>
        <w:pStyle w:val="Header"/>
        <w:tabs>
          <w:tab w:val="right" w:pos="9641"/>
        </w:tabs>
        <w:rPr>
          <w:rFonts w:eastAsia="SimSun"/>
          <w:bCs/>
          <w:sz w:val="24"/>
          <w:szCs w:val="24"/>
          <w:lang w:eastAsia="zh-CN"/>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00D73CAB">
        <w:rPr>
          <w:sz w:val="24"/>
        </w:rPr>
        <w:t xml:space="preserve"> 2024</w:t>
      </w:r>
      <w:r>
        <w:rPr>
          <w:sz w:val="24"/>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6EAD98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75605">
        <w:rPr>
          <w:rFonts w:cs="Arial"/>
          <w:b/>
          <w:bCs/>
          <w:sz w:val="24"/>
          <w:lang w:eastAsia="ja-JP"/>
        </w:rPr>
        <w:t>8</w:t>
      </w:r>
      <w:r>
        <w:rPr>
          <w:rFonts w:cs="Arial"/>
          <w:b/>
          <w:bCs/>
          <w:sz w:val="24"/>
          <w:lang w:eastAsia="ja-JP"/>
        </w:rPr>
        <w:t>.</w:t>
      </w:r>
      <w:r w:rsidR="00475605">
        <w:rPr>
          <w:rFonts w:cs="Arial"/>
          <w:b/>
          <w:bCs/>
          <w:sz w:val="24"/>
          <w:lang w:eastAsia="ja-JP"/>
        </w:rPr>
        <w:t>1</w:t>
      </w:r>
      <w:r>
        <w:rPr>
          <w:rFonts w:cs="Arial"/>
          <w:b/>
          <w:bCs/>
          <w:sz w:val="24"/>
          <w:lang w:eastAsia="ja-JP"/>
        </w:rPr>
        <w:t>.</w:t>
      </w:r>
      <w:r w:rsidR="00135727">
        <w:rPr>
          <w:rFonts w:cs="Arial"/>
          <w:b/>
          <w:bCs/>
          <w:sz w:val="24"/>
          <w:lang w:eastAsia="ja-JP"/>
        </w:rPr>
        <w:t>5</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F63320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93436">
        <w:rPr>
          <w:rFonts w:ascii="Arial" w:hAnsi="Arial" w:cs="Arial"/>
          <w:b/>
          <w:bCs/>
          <w:sz w:val="24"/>
        </w:rPr>
        <w:t>Model transfer/delivery</w:t>
      </w:r>
    </w:p>
    <w:p w14:paraId="25F387E8" w14:textId="30868F8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5739D">
        <w:rPr>
          <w:rFonts w:ascii="Arial" w:hAnsi="Arial" w:cs="Arial"/>
          <w:b/>
          <w:bCs/>
          <w:sz w:val="24"/>
        </w:rPr>
        <w:t>NR_AIML_</w:t>
      </w:r>
      <w:r w:rsidR="00651841">
        <w:rPr>
          <w:rFonts w:ascii="Arial" w:hAnsi="Arial" w:cs="Arial"/>
          <w:b/>
          <w:bCs/>
          <w:sz w:val="24"/>
        </w:rPr>
        <w:t>a</w:t>
      </w:r>
      <w:r w:rsidR="00B5739D">
        <w:rPr>
          <w:rFonts w:ascii="Arial" w:hAnsi="Arial" w:cs="Arial"/>
          <w:b/>
          <w:bCs/>
          <w:sz w:val="24"/>
        </w:rPr>
        <w:t>ir-Core</w:t>
      </w:r>
      <w:r w:rsidRPr="00112F1A">
        <w:rPr>
          <w:rFonts w:ascii="Arial" w:hAnsi="Arial" w:cs="Arial"/>
          <w:b/>
          <w:bCs/>
          <w:sz w:val="24"/>
        </w:rPr>
        <w:t xml:space="preserve"> </w:t>
      </w:r>
      <w:r>
        <w:rPr>
          <w:rFonts w:ascii="Arial" w:hAnsi="Arial" w:cs="Arial"/>
          <w:b/>
          <w:bCs/>
          <w:sz w:val="24"/>
        </w:rPr>
        <w:t xml:space="preserve">- Release </w:t>
      </w:r>
      <w:r w:rsidR="00B5739D">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F973A13" w14:textId="5D60A8E3" w:rsidR="00CE682D" w:rsidRDefault="00BC4710" w:rsidP="009339CB">
      <w:r>
        <w:t>This paper analyses the limitations of model transfer/delivery options discussed in TR 38.843 and proposes an additional alternative</w:t>
      </w:r>
      <w:r w:rsidR="00A02D5F">
        <w:t xml:space="preserve"> option</w:t>
      </w:r>
      <w:r>
        <w:t xml:space="preserve"> to mitigate the issues.</w:t>
      </w:r>
    </w:p>
    <w:p w14:paraId="7D484B6E" w14:textId="1458E202" w:rsidR="009339CB" w:rsidRPr="006E13D1" w:rsidRDefault="009339CB" w:rsidP="009339CB">
      <w:pPr>
        <w:pStyle w:val="Heading1"/>
      </w:pPr>
      <w:r w:rsidRPr="006E13D1">
        <w:t>2</w:t>
      </w:r>
      <w:r w:rsidRPr="006E13D1">
        <w:tab/>
      </w:r>
      <w:r w:rsidR="0080424C">
        <w:t>Discussion</w:t>
      </w:r>
    </w:p>
    <w:p w14:paraId="35644891" w14:textId="7251C5AE" w:rsidR="00B34B71" w:rsidRDefault="00B34B71" w:rsidP="00B34B71">
      <w:r w:rsidRPr="00B34B71">
        <w:t>In RAN1,</w:t>
      </w:r>
      <w:r w:rsidR="00EF5D88">
        <w:t xml:space="preserve"> it has been discussed</w:t>
      </w:r>
      <w:r w:rsidR="00400E46">
        <w:t xml:space="preserve"> that pending further study</w:t>
      </w:r>
      <w:r w:rsidR="005C6993">
        <w:t>,</w:t>
      </w:r>
      <w:r w:rsidR="00EF5D88">
        <w:t xml:space="preserve"> </w:t>
      </w:r>
      <w:r w:rsidR="008453F4">
        <w:t xml:space="preserve">model </w:t>
      </w:r>
      <w:r w:rsidR="005C6993">
        <w:t>delivery/</w:t>
      </w:r>
      <w:r w:rsidR="008453F4">
        <w:t>transfer case z4</w:t>
      </w:r>
      <w:r w:rsidR="005C6993">
        <w:t>, a</w:t>
      </w:r>
      <w:r w:rsidR="000E5CB8">
        <w:t xml:space="preserve">n open format </w:t>
      </w:r>
      <w:r w:rsidR="008453F4">
        <w:t>model with known structure</w:t>
      </w:r>
      <w:r w:rsidR="001A012B">
        <w:t>,</w:t>
      </w:r>
      <w:r w:rsidR="008453F4">
        <w:t xml:space="preserve"> </w:t>
      </w:r>
      <w:r w:rsidR="005C6993">
        <w:t>could</w:t>
      </w:r>
      <w:r w:rsidR="008453F4">
        <w:t xml:space="preserve"> be supported for 2-sided CSI compression.</w:t>
      </w:r>
      <w:r w:rsidR="000E5CB8">
        <w:t xml:space="preserve"> Information that are part of the known model to be transferred are: model parameters (in Option 3), dataset (in Option 4) and reference model (Option 5).</w:t>
      </w:r>
      <w:r w:rsidR="00B92153">
        <w:t xml:space="preserve"> RAN1 will continue further discussion on each of these options with potential identified issues.</w:t>
      </w:r>
      <w:r w:rsidR="000E5CB8">
        <w:t xml:space="preserve"> </w:t>
      </w:r>
      <w:r w:rsidRPr="00B34B71">
        <w:t xml:space="preserve">From the RAN2 viewpoint, information exchange protocols and signalling </w:t>
      </w:r>
      <w:r w:rsidR="00092B04">
        <w:t>could be considered agnostic to</w:t>
      </w:r>
      <w:r w:rsidRPr="00B34B71">
        <w:t xml:space="preserve"> the ML model and data being transferred</w:t>
      </w:r>
      <w:r w:rsidR="12BBAECE">
        <w:t xml:space="preserve"> and it should be </w:t>
      </w:r>
      <w:r w:rsidR="730F6EFA">
        <w:t xml:space="preserve">compatible to any model transfer case </w:t>
      </w:r>
      <w:r w:rsidR="4BBF2292">
        <w:t>studied in future</w:t>
      </w:r>
      <w:r>
        <w:t>.</w:t>
      </w:r>
      <w:r w:rsidRPr="00B34B71">
        <w:t xml:space="preserve"> It is up to the higher layers (in the UE and NW) to decide how to interpret the incoming information towards the entity. We also see benefits of having unified discussion instead of having separate solutions and discussion for model transfer, for each use case separately.</w:t>
      </w:r>
    </w:p>
    <w:p w14:paraId="239140D3" w14:textId="639544EB" w:rsidR="00230186" w:rsidRDefault="00230186" w:rsidP="00B34B71">
      <w:r>
        <w:t>Note the following agreements from RAN1#118</w:t>
      </w:r>
      <w:r w:rsidR="00732500">
        <w:t xml:space="preserve"> [1]</w:t>
      </w:r>
      <w:r>
        <w:t>.</w:t>
      </w:r>
    </w:p>
    <w:tbl>
      <w:tblPr>
        <w:tblStyle w:val="TableGrid"/>
        <w:tblW w:w="0" w:type="auto"/>
        <w:tblLook w:val="04A0" w:firstRow="1" w:lastRow="0" w:firstColumn="1" w:lastColumn="0" w:noHBand="0" w:noVBand="1"/>
      </w:tblPr>
      <w:tblGrid>
        <w:gridCol w:w="9631"/>
      </w:tblGrid>
      <w:tr w:rsidR="00230186" w14:paraId="1C62630A" w14:textId="77777777" w:rsidTr="00230186">
        <w:tc>
          <w:tcPr>
            <w:tcW w:w="9631" w:type="dxa"/>
          </w:tcPr>
          <w:p w14:paraId="2D9B987E" w14:textId="77777777" w:rsidR="00230186" w:rsidRPr="00FD51A9" w:rsidRDefault="00230186" w:rsidP="00230186">
            <w:pPr>
              <w:rPr>
                <w:rFonts w:ascii="Times New Roman" w:eastAsia="DengXian" w:hAnsi="Times New Roman"/>
                <w:b/>
                <w:iCs/>
                <w:highlight w:val="green"/>
                <w:lang w:eastAsia="zh-CN"/>
              </w:rPr>
            </w:pPr>
            <w:r w:rsidRPr="00230186">
              <w:rPr>
                <w:rFonts w:eastAsia="DengXian"/>
                <w:b/>
                <w:highlight w:val="green"/>
                <w:lang w:eastAsia="zh-CN"/>
              </w:rPr>
              <w:t>Agreement</w:t>
            </w:r>
          </w:p>
          <w:p w14:paraId="4535DE42" w14:textId="77777777" w:rsidR="00230186" w:rsidRPr="00FD51A9" w:rsidRDefault="00230186" w:rsidP="00230186">
            <w:pPr>
              <w:rPr>
                <w:rFonts w:ascii="Times New Roman" w:hAnsi="Times New Roman"/>
                <w:b/>
                <w:iCs/>
                <w:lang w:eastAsia="x-none"/>
              </w:rPr>
            </w:pPr>
            <w:r w:rsidRPr="00230186">
              <w:rPr>
                <w:b/>
                <w:lang w:eastAsia="x-none"/>
              </w:rPr>
              <w:t>From RAN1 perspective, the “known model structure(s)” of the model transfer/delivery Case z4 at least include known information on the following aspects</w:t>
            </w:r>
          </w:p>
          <w:p w14:paraId="3E9C6491" w14:textId="77777777" w:rsidR="00230186" w:rsidRPr="00FD51A9" w:rsidRDefault="00230186" w:rsidP="00230186">
            <w:pPr>
              <w:numPr>
                <w:ilvl w:val="0"/>
                <w:numId w:val="23"/>
              </w:numPr>
              <w:spacing w:after="0"/>
              <w:contextualSpacing/>
              <w:rPr>
                <w:rFonts w:ascii="Times New Roman" w:hAnsi="Times New Roman"/>
                <w:iCs/>
              </w:rPr>
            </w:pPr>
            <w:r w:rsidRPr="00230186">
              <w:rPr>
                <w:b/>
              </w:rPr>
              <w:t>Model type/backbone (e.g., Transformer, CNN and so on)</w:t>
            </w:r>
          </w:p>
          <w:p w14:paraId="10CAD94F" w14:textId="77777777" w:rsidR="00230186" w:rsidRPr="00FD51A9" w:rsidRDefault="00230186" w:rsidP="00230186">
            <w:pPr>
              <w:numPr>
                <w:ilvl w:val="0"/>
                <w:numId w:val="23"/>
              </w:numPr>
              <w:spacing w:after="0"/>
              <w:contextualSpacing/>
              <w:rPr>
                <w:rFonts w:ascii="Times New Roman" w:hAnsi="Times New Roman"/>
                <w:iCs/>
              </w:rPr>
            </w:pPr>
            <w:r w:rsidRPr="00230186">
              <w:rPr>
                <w:b/>
              </w:rPr>
              <w:t xml:space="preserve">In case model type is a neural network </w:t>
            </w:r>
          </w:p>
          <w:p w14:paraId="50FF5BE1" w14:textId="77777777" w:rsidR="00230186" w:rsidRPr="00FD51A9" w:rsidRDefault="00230186" w:rsidP="00230186">
            <w:pPr>
              <w:numPr>
                <w:ilvl w:val="1"/>
                <w:numId w:val="23"/>
              </w:numPr>
              <w:spacing w:after="0"/>
              <w:contextualSpacing/>
              <w:rPr>
                <w:rFonts w:ascii="Times New Roman" w:hAnsi="Times New Roman"/>
                <w:iCs/>
              </w:rPr>
            </w:pPr>
            <w:r w:rsidRPr="00230186">
              <w:rPr>
                <w:b/>
              </w:rPr>
              <w:t>Number of layers</w:t>
            </w:r>
          </w:p>
          <w:p w14:paraId="6F7498B5" w14:textId="77777777" w:rsidR="00230186" w:rsidRPr="00FD51A9" w:rsidRDefault="00230186" w:rsidP="00230186">
            <w:pPr>
              <w:numPr>
                <w:ilvl w:val="1"/>
                <w:numId w:val="23"/>
              </w:numPr>
              <w:spacing w:after="0"/>
              <w:contextualSpacing/>
              <w:rPr>
                <w:rFonts w:ascii="Times New Roman" w:hAnsi="Times New Roman"/>
                <w:iCs/>
              </w:rPr>
            </w:pPr>
            <w:r w:rsidRPr="00230186">
              <w:rPr>
                <w:b/>
              </w:rPr>
              <w:t>Layer types/structure (e.g., full connected, activation layer and so on)</w:t>
            </w:r>
          </w:p>
          <w:p w14:paraId="67134D04" w14:textId="77777777" w:rsidR="00230186" w:rsidRPr="00FD51A9" w:rsidRDefault="00230186" w:rsidP="00230186">
            <w:pPr>
              <w:numPr>
                <w:ilvl w:val="1"/>
                <w:numId w:val="23"/>
              </w:numPr>
              <w:spacing w:after="0"/>
              <w:contextualSpacing/>
              <w:rPr>
                <w:rFonts w:ascii="Times New Roman" w:hAnsi="Times New Roman"/>
                <w:b/>
                <w:iCs/>
              </w:rPr>
            </w:pPr>
            <w:r w:rsidRPr="00230186">
              <w:rPr>
                <w:b/>
              </w:rPr>
              <w:t>Layer size (e.g., the number of parameters of a layer)</w:t>
            </w:r>
          </w:p>
          <w:p w14:paraId="6A7E76A1" w14:textId="77777777" w:rsidR="00230186" w:rsidRPr="00FD51A9" w:rsidRDefault="00230186" w:rsidP="00230186">
            <w:pPr>
              <w:numPr>
                <w:ilvl w:val="1"/>
                <w:numId w:val="23"/>
              </w:numPr>
              <w:spacing w:after="0"/>
              <w:contextualSpacing/>
              <w:rPr>
                <w:rFonts w:ascii="Times New Roman" w:hAnsi="Times New Roman"/>
                <w:b/>
                <w:iCs/>
              </w:rPr>
            </w:pPr>
            <w:r w:rsidRPr="00230186">
              <w:rPr>
                <w:b/>
              </w:rPr>
              <w:t xml:space="preserve">Connection between different layers </w:t>
            </w:r>
          </w:p>
          <w:p w14:paraId="1099F913" w14:textId="77777777" w:rsidR="00230186" w:rsidRPr="00FD51A9" w:rsidRDefault="00230186" w:rsidP="00230186">
            <w:pPr>
              <w:numPr>
                <w:ilvl w:val="0"/>
                <w:numId w:val="23"/>
              </w:numPr>
              <w:spacing w:after="0"/>
              <w:contextualSpacing/>
              <w:rPr>
                <w:rFonts w:ascii="Times New Roman" w:hAnsi="Times New Roman"/>
                <w:b/>
                <w:iCs/>
              </w:rPr>
            </w:pPr>
            <w:r w:rsidRPr="00230186">
              <w:rPr>
                <w:b/>
              </w:rPr>
              <w:t>model input/output</w:t>
            </w:r>
            <w:r w:rsidRPr="00230186">
              <w:rPr>
                <w:rFonts w:eastAsia="DengXian"/>
                <w:b/>
                <w:lang w:eastAsia="zh-CN"/>
              </w:rPr>
              <w:t xml:space="preserve"> related information</w:t>
            </w:r>
          </w:p>
          <w:p w14:paraId="7DF507AB" w14:textId="77777777" w:rsidR="00230186" w:rsidRPr="00FD51A9" w:rsidRDefault="00230186" w:rsidP="00230186">
            <w:pPr>
              <w:rPr>
                <w:rFonts w:ascii="Times New Roman" w:eastAsia="DengXian" w:hAnsi="Times New Roman"/>
                <w:iCs/>
                <w:lang w:eastAsia="zh-CN"/>
              </w:rPr>
            </w:pPr>
          </w:p>
          <w:p w14:paraId="3C342D0C" w14:textId="77777777" w:rsidR="00230186" w:rsidRPr="00FD51A9" w:rsidRDefault="00230186" w:rsidP="00230186">
            <w:pPr>
              <w:pStyle w:val="BodyText"/>
              <w:spacing w:after="0"/>
              <w:rPr>
                <w:rFonts w:ascii="Times New Roman" w:eastAsia="DengXian" w:hAnsi="Times New Roman"/>
                <w:b/>
                <w:lang w:eastAsia="zh-CN"/>
              </w:rPr>
            </w:pPr>
            <w:r w:rsidRPr="00FD51A9">
              <w:rPr>
                <w:rFonts w:ascii="Times New Roman" w:hAnsi="Times New Roman"/>
                <w:b/>
              </w:rPr>
              <w:t>Conclusion</w:t>
            </w:r>
          </w:p>
          <w:p w14:paraId="38B0FE00" w14:textId="77777777" w:rsidR="00230186" w:rsidRPr="00FD51A9" w:rsidRDefault="00230186" w:rsidP="00230186">
            <w:pPr>
              <w:pStyle w:val="BodyText"/>
              <w:spacing w:after="0"/>
              <w:rPr>
                <w:rFonts w:ascii="Times New Roman" w:hAnsi="Times New Roman"/>
                <w:b/>
              </w:rPr>
            </w:pPr>
            <w:r w:rsidRPr="00FD51A9">
              <w:rPr>
                <w:rFonts w:ascii="Times New Roman" w:hAnsi="Times New Roman"/>
                <w:b/>
              </w:rPr>
              <w:t xml:space="preserve">From RAN1 perspective, model transfer is needed at least for some (e.g., Option 3b) of inter-vendor training collaboration option(s) of CSI compression using two-sided model (if supported) </w:t>
            </w:r>
          </w:p>
          <w:p w14:paraId="790D1B44" w14:textId="77777777" w:rsidR="00230186" w:rsidRPr="00FD51A9" w:rsidRDefault="00230186" w:rsidP="00230186">
            <w:pPr>
              <w:rPr>
                <w:rFonts w:ascii="Times New Roman" w:eastAsia="DengXian" w:hAnsi="Times New Roman"/>
                <w:iCs/>
                <w:lang w:eastAsia="zh-CN"/>
              </w:rPr>
            </w:pPr>
          </w:p>
          <w:p w14:paraId="06DBF4AC" w14:textId="77777777" w:rsidR="00230186" w:rsidRPr="00FD51A9" w:rsidRDefault="00230186" w:rsidP="00230186">
            <w:pPr>
              <w:rPr>
                <w:rFonts w:ascii="Times New Roman" w:eastAsia="DengXian" w:hAnsi="Times New Roman"/>
                <w:iCs/>
                <w:highlight w:val="green"/>
                <w:lang w:eastAsia="zh-CN"/>
              </w:rPr>
            </w:pPr>
            <w:r w:rsidRPr="00230186">
              <w:rPr>
                <w:rFonts w:eastAsia="DengXian"/>
                <w:highlight w:val="green"/>
                <w:lang w:eastAsia="zh-CN"/>
              </w:rPr>
              <w:t>Agreement</w:t>
            </w:r>
          </w:p>
          <w:p w14:paraId="53E89329" w14:textId="38BA3B7F" w:rsidR="00230186" w:rsidRPr="00FD51A9" w:rsidRDefault="00230186" w:rsidP="00B34B71">
            <w:pPr>
              <w:rPr>
                <w:rFonts w:eastAsia="DengXian"/>
                <w:lang w:eastAsia="zh-CN"/>
              </w:rPr>
            </w:pPr>
            <w:r w:rsidRPr="00230186">
              <w:t xml:space="preserve">RAN1 is recommending extending the study of the </w:t>
            </w:r>
            <w:r w:rsidRPr="00230186">
              <w:rPr>
                <w:rFonts w:eastAsia="DengXian"/>
                <w:lang w:eastAsia="zh-CN"/>
              </w:rPr>
              <w:t>Model identification, and Model transfer/Model delivery based on RAN1 understanding the study is not completed.</w:t>
            </w:r>
          </w:p>
        </w:tc>
      </w:tr>
    </w:tbl>
    <w:p w14:paraId="2C25911D" w14:textId="77777777" w:rsidR="00230186" w:rsidRDefault="00230186" w:rsidP="00B34B71"/>
    <w:p w14:paraId="51D91D25" w14:textId="77777777" w:rsidR="00AC2A1A" w:rsidRDefault="00AC2A1A" w:rsidP="00B34B71"/>
    <w:p w14:paraId="070E8B2D" w14:textId="2BE40789" w:rsidR="00350757" w:rsidRDefault="00350757" w:rsidP="00B34B71">
      <w:r>
        <w:lastRenderedPageBreak/>
        <w:t>And for reference, the following are the Model Delivery/Transfer Cases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350757" w:rsidRPr="00133C49" w14:paraId="7678B51C" w14:textId="77777777" w:rsidTr="00B62906">
        <w:tc>
          <w:tcPr>
            <w:tcW w:w="683" w:type="dxa"/>
            <w:shd w:val="clear" w:color="auto" w:fill="D9D9D9" w:themeFill="background1" w:themeFillShade="D9"/>
          </w:tcPr>
          <w:p w14:paraId="1ED0A9D8" w14:textId="77777777" w:rsidR="00350757" w:rsidRPr="00133C49" w:rsidRDefault="00350757" w:rsidP="00B62906">
            <w:pPr>
              <w:spacing w:after="0"/>
              <w:rPr>
                <w:rFonts w:ascii="Arial" w:hAnsi="Arial" w:cs="Arial"/>
                <w:b/>
                <w:sz w:val="18"/>
                <w:szCs w:val="18"/>
              </w:rPr>
            </w:pPr>
            <w:r w:rsidRPr="00133C49">
              <w:rPr>
                <w:rFonts w:ascii="Arial" w:hAnsi="Arial" w:cs="Arial"/>
                <w:b/>
                <w:sz w:val="18"/>
                <w:szCs w:val="18"/>
              </w:rPr>
              <w:t>Case</w:t>
            </w:r>
          </w:p>
        </w:tc>
        <w:tc>
          <w:tcPr>
            <w:tcW w:w="3831" w:type="dxa"/>
            <w:shd w:val="clear" w:color="auto" w:fill="D9D9D9" w:themeFill="background1" w:themeFillShade="D9"/>
          </w:tcPr>
          <w:p w14:paraId="46109704" w14:textId="77777777" w:rsidR="00350757" w:rsidRPr="00133C49" w:rsidRDefault="00350757" w:rsidP="00B62906">
            <w:pPr>
              <w:spacing w:after="0"/>
              <w:rPr>
                <w:rFonts w:ascii="Arial" w:hAnsi="Arial" w:cs="Arial"/>
                <w:b/>
                <w:sz w:val="18"/>
                <w:szCs w:val="18"/>
              </w:rPr>
            </w:pPr>
            <w:r w:rsidRPr="00133C49">
              <w:rPr>
                <w:rFonts w:ascii="Arial" w:hAnsi="Arial" w:cs="Arial"/>
                <w:b/>
                <w:sz w:val="18"/>
                <w:szCs w:val="18"/>
              </w:rPr>
              <w:t>Model delivery/transfer</w:t>
            </w:r>
          </w:p>
        </w:tc>
        <w:tc>
          <w:tcPr>
            <w:tcW w:w="2196" w:type="dxa"/>
            <w:shd w:val="clear" w:color="auto" w:fill="D9D9D9" w:themeFill="background1" w:themeFillShade="D9"/>
          </w:tcPr>
          <w:p w14:paraId="057E3C3D" w14:textId="77777777" w:rsidR="00350757" w:rsidRPr="00133C49" w:rsidRDefault="00350757" w:rsidP="00B62906">
            <w:pPr>
              <w:spacing w:after="0"/>
              <w:rPr>
                <w:rFonts w:ascii="Arial" w:hAnsi="Arial" w:cs="Arial"/>
                <w:b/>
                <w:sz w:val="18"/>
                <w:szCs w:val="18"/>
              </w:rPr>
            </w:pPr>
            <w:r w:rsidRPr="00133C49">
              <w:rPr>
                <w:rFonts w:ascii="Arial" w:hAnsi="Arial" w:cs="Arial"/>
                <w:b/>
                <w:sz w:val="18"/>
                <w:szCs w:val="18"/>
              </w:rPr>
              <w:t>Model storage location</w:t>
            </w:r>
          </w:p>
        </w:tc>
        <w:tc>
          <w:tcPr>
            <w:tcW w:w="2974" w:type="dxa"/>
            <w:shd w:val="clear" w:color="auto" w:fill="D9D9D9" w:themeFill="background1" w:themeFillShade="D9"/>
          </w:tcPr>
          <w:p w14:paraId="56D9A416" w14:textId="77777777" w:rsidR="00350757" w:rsidRPr="00133C49" w:rsidRDefault="00350757" w:rsidP="00B62906">
            <w:pPr>
              <w:spacing w:after="0"/>
              <w:rPr>
                <w:rFonts w:ascii="Arial" w:hAnsi="Arial" w:cs="Arial"/>
                <w:b/>
                <w:sz w:val="18"/>
                <w:szCs w:val="18"/>
              </w:rPr>
            </w:pPr>
            <w:r w:rsidRPr="00133C49">
              <w:rPr>
                <w:rFonts w:ascii="Arial" w:hAnsi="Arial" w:cs="Arial"/>
                <w:b/>
                <w:sz w:val="18"/>
                <w:szCs w:val="18"/>
              </w:rPr>
              <w:t>Training location</w:t>
            </w:r>
          </w:p>
        </w:tc>
      </w:tr>
      <w:tr w:rsidR="00350757" w:rsidRPr="00133C49" w14:paraId="4980444B" w14:textId="77777777" w:rsidTr="00B62906">
        <w:tc>
          <w:tcPr>
            <w:tcW w:w="683" w:type="dxa"/>
            <w:shd w:val="clear" w:color="auto" w:fill="auto"/>
          </w:tcPr>
          <w:p w14:paraId="0FC8DA34" w14:textId="77777777" w:rsidR="00350757" w:rsidRPr="00133C49" w:rsidRDefault="00350757" w:rsidP="00B62906">
            <w:pPr>
              <w:spacing w:after="0"/>
              <w:rPr>
                <w:rFonts w:ascii="Arial" w:hAnsi="Arial" w:cs="Arial"/>
                <w:b/>
                <w:sz w:val="18"/>
                <w:szCs w:val="18"/>
              </w:rPr>
            </w:pPr>
            <w:r w:rsidRPr="00133C49">
              <w:rPr>
                <w:rFonts w:ascii="Arial" w:hAnsi="Arial" w:cs="Arial"/>
                <w:b/>
                <w:sz w:val="18"/>
                <w:szCs w:val="18"/>
              </w:rPr>
              <w:t>y</w:t>
            </w:r>
          </w:p>
        </w:tc>
        <w:tc>
          <w:tcPr>
            <w:tcW w:w="3831" w:type="dxa"/>
            <w:shd w:val="clear" w:color="auto" w:fill="auto"/>
          </w:tcPr>
          <w:p w14:paraId="2767A714" w14:textId="77777777" w:rsidR="00350757" w:rsidRPr="00133C49" w:rsidRDefault="00350757" w:rsidP="00B62906">
            <w:pPr>
              <w:spacing w:after="0"/>
              <w:rPr>
                <w:rFonts w:ascii="Arial" w:hAnsi="Arial" w:cs="Arial"/>
                <w:sz w:val="18"/>
                <w:szCs w:val="18"/>
              </w:rPr>
            </w:pPr>
            <w:r w:rsidRPr="00133C49">
              <w:rPr>
                <w:rFonts w:ascii="Arial" w:hAnsi="Arial" w:cs="Arial"/>
                <w:sz w:val="18"/>
                <w:szCs w:val="18"/>
              </w:rPr>
              <w:t>model delivery (if needed) over-the-top.</w:t>
            </w:r>
          </w:p>
        </w:tc>
        <w:tc>
          <w:tcPr>
            <w:tcW w:w="2196" w:type="dxa"/>
            <w:shd w:val="clear" w:color="auto" w:fill="auto"/>
          </w:tcPr>
          <w:p w14:paraId="4E8167DB" w14:textId="77777777" w:rsidR="00350757" w:rsidRPr="00133C49" w:rsidRDefault="00350757" w:rsidP="00B62906">
            <w:pPr>
              <w:spacing w:after="0"/>
              <w:rPr>
                <w:rFonts w:ascii="Arial" w:hAnsi="Arial" w:cs="Arial"/>
                <w:sz w:val="18"/>
                <w:szCs w:val="18"/>
              </w:rPr>
            </w:pPr>
            <w:r w:rsidRPr="00133C49">
              <w:rPr>
                <w:rFonts w:ascii="Arial" w:hAnsi="Arial" w:cs="Arial"/>
                <w:sz w:val="18"/>
                <w:szCs w:val="18"/>
              </w:rPr>
              <w:t>Outside 3GPP Network</w:t>
            </w:r>
          </w:p>
        </w:tc>
        <w:tc>
          <w:tcPr>
            <w:tcW w:w="2974" w:type="dxa"/>
            <w:shd w:val="clear" w:color="auto" w:fill="auto"/>
          </w:tcPr>
          <w:p w14:paraId="557A223C" w14:textId="77777777" w:rsidR="00350757" w:rsidRPr="00133C49" w:rsidRDefault="00350757" w:rsidP="00B62906">
            <w:pPr>
              <w:spacing w:after="0"/>
              <w:rPr>
                <w:rFonts w:ascii="Arial" w:hAnsi="Arial" w:cs="Arial"/>
                <w:sz w:val="18"/>
                <w:szCs w:val="18"/>
              </w:rPr>
            </w:pPr>
            <w:r w:rsidRPr="00133C49">
              <w:rPr>
                <w:rFonts w:ascii="Arial" w:hAnsi="Arial" w:cs="Arial"/>
                <w:sz w:val="18"/>
                <w:szCs w:val="18"/>
              </w:rPr>
              <w:t>UE-side / NW-side / neutral site</w:t>
            </w:r>
          </w:p>
        </w:tc>
      </w:tr>
      <w:tr w:rsidR="00350757" w:rsidRPr="00133C49" w14:paraId="18BEB09D" w14:textId="77777777" w:rsidTr="00B62906">
        <w:tc>
          <w:tcPr>
            <w:tcW w:w="683" w:type="dxa"/>
            <w:shd w:val="clear" w:color="auto" w:fill="auto"/>
          </w:tcPr>
          <w:p w14:paraId="58C8CBAF" w14:textId="77777777" w:rsidR="00350757" w:rsidRPr="00133C49" w:rsidRDefault="00350757" w:rsidP="00B62906">
            <w:pPr>
              <w:spacing w:after="0"/>
              <w:rPr>
                <w:rFonts w:ascii="Arial" w:hAnsi="Arial" w:cs="Arial"/>
                <w:b/>
                <w:sz w:val="18"/>
                <w:szCs w:val="18"/>
              </w:rPr>
            </w:pPr>
            <w:r w:rsidRPr="00133C49">
              <w:rPr>
                <w:rFonts w:ascii="Arial" w:hAnsi="Arial" w:cs="Arial"/>
                <w:b/>
                <w:sz w:val="18"/>
                <w:szCs w:val="18"/>
              </w:rPr>
              <w:t>z1</w:t>
            </w:r>
          </w:p>
        </w:tc>
        <w:tc>
          <w:tcPr>
            <w:tcW w:w="3831" w:type="dxa"/>
            <w:shd w:val="clear" w:color="auto" w:fill="auto"/>
          </w:tcPr>
          <w:p w14:paraId="2A3ADBA2" w14:textId="77777777" w:rsidR="00350757" w:rsidRPr="00133C49" w:rsidRDefault="00350757" w:rsidP="00B62906">
            <w:pPr>
              <w:spacing w:after="0"/>
              <w:rPr>
                <w:rFonts w:ascii="Arial" w:hAnsi="Arial" w:cs="Arial"/>
                <w:sz w:val="18"/>
                <w:szCs w:val="18"/>
              </w:rPr>
            </w:pPr>
            <w:r w:rsidRPr="00133C49">
              <w:rPr>
                <w:rFonts w:ascii="Arial" w:hAnsi="Arial" w:cs="Arial"/>
                <w:sz w:val="18"/>
                <w:szCs w:val="18"/>
              </w:rPr>
              <w:t>model transfer in proprietary format.</w:t>
            </w:r>
          </w:p>
        </w:tc>
        <w:tc>
          <w:tcPr>
            <w:tcW w:w="2196" w:type="dxa"/>
            <w:shd w:val="clear" w:color="auto" w:fill="auto"/>
          </w:tcPr>
          <w:p w14:paraId="2F088E46" w14:textId="77777777" w:rsidR="00350757" w:rsidRPr="00133C49" w:rsidRDefault="00350757" w:rsidP="00B62906">
            <w:pPr>
              <w:spacing w:after="0"/>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7646E4A6" w14:textId="77777777" w:rsidR="00350757" w:rsidRPr="00133C49" w:rsidRDefault="00350757" w:rsidP="00B62906">
            <w:pPr>
              <w:spacing w:after="0"/>
              <w:rPr>
                <w:rFonts w:ascii="Arial" w:hAnsi="Arial" w:cs="Arial"/>
                <w:sz w:val="18"/>
                <w:szCs w:val="18"/>
              </w:rPr>
            </w:pPr>
            <w:r w:rsidRPr="00133C49">
              <w:rPr>
                <w:rFonts w:ascii="Arial" w:hAnsi="Arial" w:cs="Arial"/>
                <w:sz w:val="18"/>
                <w:szCs w:val="18"/>
              </w:rPr>
              <w:t>UE-side / neutral site</w:t>
            </w:r>
          </w:p>
        </w:tc>
      </w:tr>
      <w:tr w:rsidR="00350757" w:rsidRPr="00133C49" w14:paraId="56AFC997" w14:textId="77777777" w:rsidTr="00B62906">
        <w:tc>
          <w:tcPr>
            <w:tcW w:w="683" w:type="dxa"/>
            <w:shd w:val="clear" w:color="auto" w:fill="auto"/>
          </w:tcPr>
          <w:p w14:paraId="668A37B2" w14:textId="77777777" w:rsidR="00350757" w:rsidRPr="00133C49" w:rsidRDefault="00350757" w:rsidP="00B62906">
            <w:pPr>
              <w:spacing w:after="0"/>
              <w:rPr>
                <w:rFonts w:ascii="Arial" w:hAnsi="Arial" w:cs="Arial"/>
                <w:b/>
                <w:sz w:val="18"/>
                <w:szCs w:val="18"/>
              </w:rPr>
            </w:pPr>
            <w:r w:rsidRPr="00133C49">
              <w:rPr>
                <w:rFonts w:ascii="Arial" w:hAnsi="Arial" w:cs="Arial"/>
                <w:b/>
                <w:sz w:val="18"/>
                <w:szCs w:val="18"/>
              </w:rPr>
              <w:t>z2</w:t>
            </w:r>
          </w:p>
        </w:tc>
        <w:tc>
          <w:tcPr>
            <w:tcW w:w="3831" w:type="dxa"/>
            <w:shd w:val="clear" w:color="auto" w:fill="auto"/>
          </w:tcPr>
          <w:p w14:paraId="5F879E80" w14:textId="77777777" w:rsidR="00350757" w:rsidRPr="00133C49" w:rsidRDefault="00350757" w:rsidP="00B62906">
            <w:pPr>
              <w:spacing w:after="0"/>
              <w:rPr>
                <w:rFonts w:ascii="Arial" w:hAnsi="Arial" w:cs="Arial"/>
                <w:sz w:val="18"/>
                <w:szCs w:val="18"/>
              </w:rPr>
            </w:pPr>
            <w:r w:rsidRPr="00133C49">
              <w:rPr>
                <w:rFonts w:ascii="Arial" w:hAnsi="Arial" w:cs="Arial"/>
                <w:sz w:val="18"/>
                <w:szCs w:val="18"/>
              </w:rPr>
              <w:t>model transfer in proprietary format.</w:t>
            </w:r>
          </w:p>
        </w:tc>
        <w:tc>
          <w:tcPr>
            <w:tcW w:w="2196" w:type="dxa"/>
            <w:shd w:val="clear" w:color="auto" w:fill="auto"/>
          </w:tcPr>
          <w:p w14:paraId="70D8717C" w14:textId="77777777" w:rsidR="00350757" w:rsidRPr="00133C49" w:rsidRDefault="00350757" w:rsidP="00B62906">
            <w:pPr>
              <w:spacing w:after="0"/>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3A868BD9" w14:textId="77777777" w:rsidR="00350757" w:rsidRPr="00133C49" w:rsidRDefault="00350757" w:rsidP="00B62906">
            <w:pPr>
              <w:spacing w:after="0"/>
              <w:rPr>
                <w:rFonts w:ascii="Arial" w:hAnsi="Arial" w:cs="Arial"/>
                <w:sz w:val="18"/>
                <w:szCs w:val="18"/>
              </w:rPr>
            </w:pPr>
            <w:r w:rsidRPr="00133C49">
              <w:rPr>
                <w:rFonts w:ascii="Arial" w:hAnsi="Arial" w:cs="Arial"/>
                <w:sz w:val="18"/>
                <w:szCs w:val="18"/>
              </w:rPr>
              <w:t>NW-side</w:t>
            </w:r>
          </w:p>
        </w:tc>
      </w:tr>
      <w:tr w:rsidR="00350757" w:rsidRPr="00133C49" w14:paraId="50D07250" w14:textId="77777777" w:rsidTr="00B62906">
        <w:tc>
          <w:tcPr>
            <w:tcW w:w="683" w:type="dxa"/>
            <w:shd w:val="clear" w:color="auto" w:fill="auto"/>
          </w:tcPr>
          <w:p w14:paraId="30D583D1" w14:textId="77777777" w:rsidR="00350757" w:rsidRPr="00133C49" w:rsidRDefault="00350757" w:rsidP="00B62906">
            <w:pPr>
              <w:spacing w:after="0"/>
              <w:rPr>
                <w:rFonts w:ascii="Arial" w:hAnsi="Arial" w:cs="Arial"/>
                <w:b/>
                <w:sz w:val="18"/>
                <w:szCs w:val="18"/>
              </w:rPr>
            </w:pPr>
            <w:r w:rsidRPr="00133C49">
              <w:rPr>
                <w:rFonts w:ascii="Arial" w:hAnsi="Arial" w:cs="Arial"/>
                <w:b/>
                <w:sz w:val="18"/>
                <w:szCs w:val="18"/>
              </w:rPr>
              <w:t>z3</w:t>
            </w:r>
          </w:p>
        </w:tc>
        <w:tc>
          <w:tcPr>
            <w:tcW w:w="3831" w:type="dxa"/>
            <w:shd w:val="clear" w:color="auto" w:fill="auto"/>
          </w:tcPr>
          <w:p w14:paraId="0A2EBA3A" w14:textId="77777777" w:rsidR="00350757" w:rsidRPr="00133C49" w:rsidRDefault="00350757" w:rsidP="00B62906">
            <w:pPr>
              <w:spacing w:after="0"/>
              <w:rPr>
                <w:rFonts w:ascii="Arial" w:hAnsi="Arial" w:cs="Arial"/>
                <w:sz w:val="18"/>
                <w:szCs w:val="18"/>
              </w:rPr>
            </w:pPr>
            <w:r w:rsidRPr="00133C49">
              <w:rPr>
                <w:rFonts w:ascii="Arial" w:hAnsi="Arial" w:cs="Arial"/>
                <w:sz w:val="18"/>
                <w:szCs w:val="18"/>
              </w:rPr>
              <w:t>model transfer in open format.</w:t>
            </w:r>
          </w:p>
        </w:tc>
        <w:tc>
          <w:tcPr>
            <w:tcW w:w="2196" w:type="dxa"/>
            <w:shd w:val="clear" w:color="auto" w:fill="auto"/>
          </w:tcPr>
          <w:p w14:paraId="3DAAF99E" w14:textId="77777777" w:rsidR="00350757" w:rsidRPr="00133C49" w:rsidRDefault="00350757" w:rsidP="00B62906">
            <w:pPr>
              <w:spacing w:after="0"/>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6337053A" w14:textId="77777777" w:rsidR="00350757" w:rsidRPr="00133C49" w:rsidRDefault="00350757" w:rsidP="00B62906">
            <w:pPr>
              <w:spacing w:after="0"/>
              <w:rPr>
                <w:rFonts w:ascii="Arial" w:hAnsi="Arial" w:cs="Arial"/>
                <w:sz w:val="18"/>
                <w:szCs w:val="18"/>
              </w:rPr>
            </w:pPr>
            <w:r w:rsidRPr="00133C49">
              <w:rPr>
                <w:rFonts w:ascii="Arial" w:hAnsi="Arial" w:cs="Arial"/>
                <w:sz w:val="18"/>
                <w:szCs w:val="18"/>
              </w:rPr>
              <w:t>UE-side / neutral site</w:t>
            </w:r>
          </w:p>
        </w:tc>
      </w:tr>
      <w:tr w:rsidR="00350757" w:rsidRPr="00133C49" w14:paraId="628E4CBC" w14:textId="77777777" w:rsidTr="00B62906">
        <w:tc>
          <w:tcPr>
            <w:tcW w:w="683" w:type="dxa"/>
            <w:shd w:val="clear" w:color="auto" w:fill="auto"/>
          </w:tcPr>
          <w:p w14:paraId="67BE44A5" w14:textId="77777777" w:rsidR="00350757" w:rsidRPr="00FD51A9" w:rsidRDefault="00350757" w:rsidP="00B62906">
            <w:pPr>
              <w:spacing w:after="0"/>
              <w:rPr>
                <w:rFonts w:ascii="Arial" w:hAnsi="Arial" w:cs="Arial"/>
                <w:b/>
                <w:sz w:val="18"/>
                <w:szCs w:val="18"/>
                <w:highlight w:val="yellow"/>
              </w:rPr>
            </w:pPr>
            <w:r w:rsidRPr="00FD51A9">
              <w:rPr>
                <w:rFonts w:ascii="Arial" w:hAnsi="Arial" w:cs="Arial"/>
                <w:b/>
                <w:sz w:val="18"/>
                <w:szCs w:val="18"/>
                <w:highlight w:val="yellow"/>
              </w:rPr>
              <w:t>z4</w:t>
            </w:r>
          </w:p>
        </w:tc>
        <w:tc>
          <w:tcPr>
            <w:tcW w:w="3831" w:type="dxa"/>
            <w:shd w:val="clear" w:color="auto" w:fill="auto"/>
          </w:tcPr>
          <w:p w14:paraId="095C6921" w14:textId="77777777" w:rsidR="00350757" w:rsidRPr="00FD51A9" w:rsidRDefault="00350757" w:rsidP="00B62906">
            <w:pPr>
              <w:spacing w:after="0"/>
              <w:rPr>
                <w:rFonts w:ascii="Arial" w:hAnsi="Arial" w:cs="Arial"/>
                <w:sz w:val="18"/>
                <w:szCs w:val="18"/>
                <w:highlight w:val="yellow"/>
              </w:rPr>
            </w:pPr>
            <w:r w:rsidRPr="00FD51A9">
              <w:rPr>
                <w:rFonts w:ascii="Arial" w:hAnsi="Arial" w:cs="Arial"/>
                <w:sz w:val="18"/>
                <w:szCs w:val="18"/>
                <w:highlight w:val="yellow"/>
              </w:rPr>
              <w:t xml:space="preserve">model transfer in open format of a </w:t>
            </w:r>
            <w:r w:rsidRPr="00FD51A9">
              <w:rPr>
                <w:rFonts w:ascii="Arial" w:hAnsi="Arial" w:cs="Arial"/>
                <w:i/>
                <w:iCs/>
                <w:sz w:val="18"/>
                <w:szCs w:val="18"/>
                <w:highlight w:val="yellow"/>
              </w:rPr>
              <w:t>known model structure</w:t>
            </w:r>
            <w:r w:rsidRPr="00FD51A9">
              <w:rPr>
                <w:rFonts w:ascii="Arial" w:hAnsi="Arial" w:cs="Arial"/>
                <w:sz w:val="18"/>
                <w:szCs w:val="18"/>
                <w:highlight w:val="yellow"/>
              </w:rPr>
              <w:t xml:space="preserve"> at UE, i.e., an exact model structure as has been previously identified between NW and UE and for which the UE has explicitly indicated its support. </w:t>
            </w:r>
          </w:p>
        </w:tc>
        <w:tc>
          <w:tcPr>
            <w:tcW w:w="2196" w:type="dxa"/>
            <w:shd w:val="clear" w:color="auto" w:fill="auto"/>
          </w:tcPr>
          <w:p w14:paraId="3939BBC7" w14:textId="77777777" w:rsidR="00350757" w:rsidRPr="00FD51A9" w:rsidRDefault="00350757" w:rsidP="00B62906">
            <w:pPr>
              <w:spacing w:after="0"/>
              <w:rPr>
                <w:rFonts w:ascii="Arial" w:hAnsi="Arial" w:cs="Arial"/>
                <w:sz w:val="18"/>
                <w:szCs w:val="18"/>
                <w:highlight w:val="yellow"/>
              </w:rPr>
            </w:pPr>
            <w:r w:rsidRPr="00FD51A9">
              <w:rPr>
                <w:rFonts w:ascii="Arial" w:hAnsi="Arial" w:cs="Arial"/>
                <w:sz w:val="18"/>
                <w:szCs w:val="18"/>
                <w:highlight w:val="yellow"/>
              </w:rPr>
              <w:t>3GPP Network</w:t>
            </w:r>
          </w:p>
        </w:tc>
        <w:tc>
          <w:tcPr>
            <w:tcW w:w="2974" w:type="dxa"/>
            <w:shd w:val="clear" w:color="auto" w:fill="auto"/>
          </w:tcPr>
          <w:p w14:paraId="76E5A23F" w14:textId="77777777" w:rsidR="00350757" w:rsidRPr="00FD51A9" w:rsidRDefault="00350757" w:rsidP="00B62906">
            <w:pPr>
              <w:spacing w:after="0"/>
              <w:rPr>
                <w:rFonts w:ascii="Arial" w:hAnsi="Arial" w:cs="Arial"/>
                <w:sz w:val="18"/>
                <w:szCs w:val="18"/>
                <w:highlight w:val="yellow"/>
              </w:rPr>
            </w:pPr>
            <w:r w:rsidRPr="00FD51A9">
              <w:rPr>
                <w:rFonts w:ascii="Arial" w:hAnsi="Arial" w:cs="Arial"/>
                <w:sz w:val="18"/>
                <w:szCs w:val="18"/>
                <w:highlight w:val="yellow"/>
              </w:rPr>
              <w:t>NW-side</w:t>
            </w:r>
          </w:p>
        </w:tc>
      </w:tr>
      <w:tr w:rsidR="00350757" w:rsidRPr="00133C49" w14:paraId="3A48F49C" w14:textId="77777777" w:rsidTr="00B62906">
        <w:tc>
          <w:tcPr>
            <w:tcW w:w="683" w:type="dxa"/>
            <w:shd w:val="clear" w:color="auto" w:fill="auto"/>
          </w:tcPr>
          <w:p w14:paraId="0822C043" w14:textId="77777777" w:rsidR="00350757" w:rsidRPr="00133C49" w:rsidRDefault="00350757" w:rsidP="00B62906">
            <w:pPr>
              <w:spacing w:after="0"/>
              <w:rPr>
                <w:rFonts w:ascii="Arial" w:hAnsi="Arial" w:cs="Arial"/>
                <w:b/>
                <w:sz w:val="18"/>
                <w:szCs w:val="18"/>
              </w:rPr>
            </w:pPr>
            <w:r w:rsidRPr="00133C49">
              <w:rPr>
                <w:rFonts w:ascii="Arial" w:hAnsi="Arial" w:cs="Arial"/>
                <w:b/>
                <w:sz w:val="18"/>
                <w:szCs w:val="18"/>
              </w:rPr>
              <w:t>z5</w:t>
            </w:r>
          </w:p>
        </w:tc>
        <w:tc>
          <w:tcPr>
            <w:tcW w:w="3831" w:type="dxa"/>
            <w:shd w:val="clear" w:color="auto" w:fill="auto"/>
          </w:tcPr>
          <w:p w14:paraId="38367666" w14:textId="77777777" w:rsidR="00350757" w:rsidRPr="00133C49" w:rsidRDefault="00350757" w:rsidP="00B62906">
            <w:pPr>
              <w:spacing w:after="0"/>
              <w:rPr>
                <w:rFonts w:ascii="Arial" w:hAnsi="Arial" w:cs="Arial"/>
                <w:sz w:val="18"/>
                <w:szCs w:val="18"/>
              </w:rPr>
            </w:pPr>
            <w:r w:rsidRPr="00133C49">
              <w:rPr>
                <w:rFonts w:ascii="Arial" w:hAnsi="Arial" w:cs="Arial"/>
                <w:sz w:val="18"/>
                <w:szCs w:val="18"/>
              </w:rPr>
              <w:t xml:space="preserve">model transfer in open format of </w:t>
            </w:r>
            <w:r w:rsidRPr="00133C49">
              <w:rPr>
                <w:rFonts w:ascii="Arial" w:hAnsi="Arial" w:cs="Arial"/>
                <w:i/>
                <w:iCs/>
                <w:sz w:val="18"/>
                <w:szCs w:val="18"/>
              </w:rPr>
              <w:t>an unknown model structure</w:t>
            </w:r>
            <w:r w:rsidRPr="00133C49">
              <w:rPr>
                <w:rFonts w:ascii="Arial" w:hAnsi="Arial" w:cs="Arial"/>
                <w:sz w:val="18"/>
                <w:szCs w:val="18"/>
              </w:rPr>
              <w:t xml:space="preserve"> at UE, i.e., any other model structure not covered in z4, including any model structure that is only partially known.</w:t>
            </w:r>
          </w:p>
        </w:tc>
        <w:tc>
          <w:tcPr>
            <w:tcW w:w="2196" w:type="dxa"/>
            <w:shd w:val="clear" w:color="auto" w:fill="auto"/>
          </w:tcPr>
          <w:p w14:paraId="1C68F967" w14:textId="77777777" w:rsidR="00350757" w:rsidRPr="00133C49" w:rsidRDefault="00350757" w:rsidP="00B62906">
            <w:pPr>
              <w:spacing w:after="0"/>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0234AFCD" w14:textId="77777777" w:rsidR="00350757" w:rsidRPr="00133C49" w:rsidRDefault="00350757" w:rsidP="00B62906">
            <w:pPr>
              <w:spacing w:after="0"/>
              <w:rPr>
                <w:rFonts w:ascii="Arial" w:hAnsi="Arial" w:cs="Arial"/>
                <w:sz w:val="18"/>
                <w:szCs w:val="18"/>
              </w:rPr>
            </w:pPr>
            <w:r w:rsidRPr="00133C49">
              <w:rPr>
                <w:rFonts w:ascii="Arial" w:hAnsi="Arial" w:cs="Arial"/>
                <w:sz w:val="18"/>
                <w:szCs w:val="18"/>
              </w:rPr>
              <w:t>NW-side</w:t>
            </w:r>
          </w:p>
        </w:tc>
      </w:tr>
      <w:tr w:rsidR="00350757" w:rsidRPr="00133C49" w14:paraId="01B622C3" w14:textId="77777777" w:rsidTr="00B62906">
        <w:tc>
          <w:tcPr>
            <w:tcW w:w="9684" w:type="dxa"/>
            <w:gridSpan w:val="4"/>
            <w:shd w:val="clear" w:color="auto" w:fill="auto"/>
          </w:tcPr>
          <w:p w14:paraId="1BDCD3CD" w14:textId="77777777" w:rsidR="00350757" w:rsidRPr="00133C49" w:rsidRDefault="00350757" w:rsidP="00B62906">
            <w:pPr>
              <w:pStyle w:val="TAN"/>
            </w:pPr>
            <w:r w:rsidRPr="00133C49">
              <w:t>Note:</w:t>
            </w:r>
            <w:r w:rsidRPr="00133C49">
              <w:tab/>
              <w:t>The definition of various Cases is only for the purpose of facilitating discussion and does not imply applicability, feasibility, entity mapping, architecture, signalling nor any prioritization.</w:t>
            </w:r>
          </w:p>
        </w:tc>
      </w:tr>
    </w:tbl>
    <w:p w14:paraId="7368E6FB" w14:textId="77777777" w:rsidR="00350757" w:rsidRDefault="00350757" w:rsidP="00B34B71"/>
    <w:p w14:paraId="758B17DC" w14:textId="66120639" w:rsidR="00793444" w:rsidRDefault="00793444" w:rsidP="00B34B71">
      <w:r>
        <w:t xml:space="preserve">Additionally, 4 </w:t>
      </w:r>
      <w:r w:rsidR="00FD51A9">
        <w:t>solutions for model transfer/delivery</w:t>
      </w:r>
      <w:r>
        <w:t>, each</w:t>
      </w:r>
      <w:r w:rsidR="00BF688F">
        <w:t xml:space="preserve"> with two sub-cases were discussed during the SI [2].</w:t>
      </w:r>
    </w:p>
    <w:p w14:paraId="7C947138" w14:textId="46BE1838" w:rsidR="00230186" w:rsidRPr="00FD51A9" w:rsidRDefault="00BF688F" w:rsidP="00B34B71">
      <w:pPr>
        <w:rPr>
          <w:lang w:val="en-US"/>
        </w:rPr>
      </w:pPr>
      <w:r>
        <w:t xml:space="preserve">Solutions 1-3 </w:t>
      </w:r>
      <w:r w:rsidR="0029436D">
        <w:t>define</w:t>
      </w:r>
      <w:r>
        <w:t xml:space="preserve"> gNB-based, CN-based, and LMF-based </w:t>
      </w:r>
      <w:r w:rsidR="0029436D">
        <w:t>transfer/delivery, and the sub-options a, and b, distinguish between control plane and user plane, respectively. Solutions 4 are user plane solutions where 4a is defined for an OTT server and solution 4b is defined for OAM.</w:t>
      </w:r>
      <w:r w:rsidR="00C37CD6">
        <w:t xml:space="preserve"> When the topic was discussed, it was assumed that </w:t>
      </w:r>
      <w:r w:rsidR="00BD02EB">
        <w:t>control and data transfer would happen on the same plane, i.e., control plane for solutions 1a, 2a, and 3a, and user plane for solutions 1b, 2b, 3b, 4a, and 4b.</w:t>
      </w:r>
    </w:p>
    <w:p w14:paraId="63409FE4" w14:textId="074652BA" w:rsidR="00B34B71" w:rsidRPr="00B34B71" w:rsidRDefault="00B34B71" w:rsidP="00382B4D">
      <w:pPr>
        <w:pStyle w:val="Heading2"/>
      </w:pPr>
      <w:r w:rsidRPr="00B34B71">
        <w:t>2.1</w:t>
      </w:r>
      <w:r w:rsidRPr="00B34B71">
        <w:tab/>
        <w:t>Control Plane Model Transfer</w:t>
      </w:r>
    </w:p>
    <w:p w14:paraId="34BFA3CD" w14:textId="4AC7528C" w:rsidR="0032257C" w:rsidRDefault="0032257C" w:rsidP="0032257C">
      <w:pPr>
        <w:pStyle w:val="Heading3"/>
      </w:pPr>
      <w:r>
        <w:t>2.1.1</w:t>
      </w:r>
      <w:r>
        <w:tab/>
        <w:t>Study Item Outcomes</w:t>
      </w:r>
    </w:p>
    <w:p w14:paraId="6D888417" w14:textId="680559FD" w:rsidR="0032257C" w:rsidRDefault="009E08B6" w:rsidP="0032257C">
      <w:r>
        <w:t xml:space="preserve">Each of the control plane </w:t>
      </w:r>
      <w:r w:rsidR="00C54C59">
        <w:t xml:space="preserve">solutions: 1a; 2a; and 3a, </w:t>
      </w:r>
      <w:r w:rsidR="00F61ECD">
        <w:t>identified issues with model sizes &gt; 45kBytes based on the existing number of RRC segments. Furthermore, the specification only allows for the use of RRC segmentation in</w:t>
      </w:r>
      <w:r w:rsidR="00C825DD">
        <w:t xml:space="preserve"> specific cases, and there are downsides to RRC segmentation, which are explained in the next section. For case 1a, the RRC </w:t>
      </w:r>
      <w:r w:rsidR="00220DCA">
        <w:t xml:space="preserve">segment size and </w:t>
      </w:r>
      <w:r w:rsidR="00C825DD">
        <w:t>segmentation limitation</w:t>
      </w:r>
      <w:r w:rsidR="00220DCA">
        <w:t xml:space="preserve"> are unresolvable. For case 2a and 3a, respectively, it is proposed to use </w:t>
      </w:r>
      <w:r w:rsidR="00FB2616">
        <w:t>NAS layer and LPP segmentation, respectively</w:t>
      </w:r>
      <w:r w:rsidR="006D5493">
        <w:t>.</w:t>
      </w:r>
    </w:p>
    <w:p w14:paraId="7831AAE1" w14:textId="6E9DBACE" w:rsidR="00565E8E" w:rsidRDefault="00933814" w:rsidP="0032257C">
      <w:pPr>
        <w:rPr>
          <w:b/>
          <w:bCs/>
        </w:rPr>
      </w:pPr>
      <w:r w:rsidRPr="00FD51A9">
        <w:rPr>
          <w:b/>
          <w:bCs/>
        </w:rPr>
        <w:t xml:space="preserve">Observation 1: Control plane model transfer/delivery solutions are limited by </w:t>
      </w:r>
      <w:r w:rsidR="00CD50CC" w:rsidRPr="00FD51A9">
        <w:rPr>
          <w:b/>
          <w:bCs/>
        </w:rPr>
        <w:t>maximum message sizes, even when enabling segmentation on their respective protocols.</w:t>
      </w:r>
    </w:p>
    <w:p w14:paraId="7209B302" w14:textId="53E7FA7E" w:rsidR="00CD50CC" w:rsidRPr="00CD50CC" w:rsidRDefault="00CD50CC" w:rsidP="0032257C">
      <w:r>
        <w:t>Because each of these solutions are implemented over the control plane, they are inherently controllable by the NW.</w:t>
      </w:r>
    </w:p>
    <w:p w14:paraId="31AA89EB" w14:textId="3CF39C9B" w:rsidR="00CD50CC" w:rsidRPr="00FD51A9" w:rsidRDefault="00CD50CC" w:rsidP="0032257C">
      <w:pPr>
        <w:rPr>
          <w:b/>
          <w:bCs/>
        </w:rPr>
      </w:pPr>
      <w:r w:rsidRPr="00FD51A9">
        <w:rPr>
          <w:b/>
          <w:bCs/>
        </w:rPr>
        <w:t>Observation 2: Control plane model transfer/delivery solutions enable NW control.</w:t>
      </w:r>
    </w:p>
    <w:p w14:paraId="380240C4" w14:textId="067E3390" w:rsidR="0032257C" w:rsidRDefault="0032257C" w:rsidP="00FD51A9">
      <w:pPr>
        <w:pStyle w:val="Heading3"/>
      </w:pPr>
      <w:r>
        <w:t>2.1.2</w:t>
      </w:r>
      <w:r>
        <w:tab/>
        <w:t>Evaluation</w:t>
      </w:r>
    </w:p>
    <w:p w14:paraId="4142D707" w14:textId="44921F18" w:rsidR="00B34B71" w:rsidRPr="00B34B71" w:rsidRDefault="00B34B71" w:rsidP="00B34B71">
      <w:r w:rsidRPr="00B34B71">
        <w:t xml:space="preserve">To support control plane model transfer, </w:t>
      </w:r>
      <w:r w:rsidR="00382B4D">
        <w:t>two main</w:t>
      </w:r>
      <w:r w:rsidRPr="00B34B71">
        <w:t xml:space="preserve"> possibilities have been proposed: increase the maximum number of RRC segments; </w:t>
      </w:r>
      <w:r w:rsidR="00382B4D">
        <w:t>and</w:t>
      </w:r>
      <w:r w:rsidRPr="00B34B71">
        <w:t xml:space="preserve"> introduce a new low-priority SRB.</w:t>
      </w:r>
    </w:p>
    <w:p w14:paraId="3F8D768F" w14:textId="2EC5FCC3" w:rsidR="00382B4D" w:rsidRPr="00382B4D" w:rsidRDefault="00382B4D" w:rsidP="00B34B71">
      <w:pPr>
        <w:rPr>
          <w:b/>
          <w:bCs/>
        </w:rPr>
      </w:pPr>
      <w:r>
        <w:rPr>
          <w:b/>
          <w:bCs/>
        </w:rPr>
        <w:t>Low-Priority SRB</w:t>
      </w:r>
    </w:p>
    <w:p w14:paraId="7EA45CB8" w14:textId="5B93701E" w:rsidR="00B34B71" w:rsidRPr="00B34B71" w:rsidRDefault="00B34B71" w:rsidP="00B34B71">
      <w:r w:rsidRPr="00B34B71">
        <w:t xml:space="preserve">Increasing the number of RRC segments could resolve the issue of supporting the transfer of larger ML models. However, the following excerpt from 38.300 </w:t>
      </w:r>
      <w:r w:rsidR="00732500">
        <w:t>[3]</w:t>
      </w:r>
      <w:r w:rsidRPr="00B34B71">
        <w:t xml:space="preserve"> exposes an issue with increasing the number of segments.</w:t>
      </w:r>
    </w:p>
    <w:p w14:paraId="0285F383" w14:textId="77777777" w:rsidR="00B34B71" w:rsidRPr="00B34B71" w:rsidRDefault="00B34B71" w:rsidP="00B34B71">
      <w:r w:rsidRPr="00B34B71">
        <w:t>“An RRC message may be segmented in case the size of the encoded RRC message PDU exceeds the maximum PDCP SDU size. Segmentation is performed in the RRC layer using a separate RRC PDU to carry each segment. The receiver reassembles the segments to form the complete RRC message. All segments of an RRC message are transmitted before sending another RRC message. Segmentation is supported in both uplink and downlink as specified in TS 38.331 [12].”</w:t>
      </w:r>
    </w:p>
    <w:p w14:paraId="67DB9505" w14:textId="702D1768" w:rsidR="00B34B71" w:rsidRPr="00B34B71" w:rsidRDefault="00B34B71" w:rsidP="00B34B71">
      <w:r w:rsidRPr="00B34B71">
        <w:t>Note that “all segments of an RRC message are transmitted before sending another RRC message.” That means that once a model transfer begins, no other RRC messages can be transmitted, regardless of the SRB’s priority, so a new low-priority SRB will not help with adapting the CP to model transfer.</w:t>
      </w:r>
      <w:r w:rsidRPr="00B34B71">
        <w:br/>
      </w:r>
      <w:r w:rsidRPr="00B34B71">
        <w:lastRenderedPageBreak/>
        <w:br/>
        <w:t xml:space="preserve">The behaviour for the transmission of an app layer measurement report </w:t>
      </w:r>
      <w:r w:rsidR="00732500">
        <w:t>[4]</w:t>
      </w:r>
      <w:r w:rsidRPr="00B34B71">
        <w:t xml:space="preserve"> further illustrates the uninterruptible nature of segmented RRC traffic. Even when reporting is paused, it is required that remaining segments of a “segmented </w:t>
      </w:r>
      <w:r w:rsidRPr="00B34B71">
        <w:rPr>
          <w:i/>
          <w:iCs/>
        </w:rPr>
        <w:t>MeasurementReportAppLayer</w:t>
      </w:r>
      <w:r w:rsidRPr="00B34B71">
        <w:t xml:space="preserve"> message” are submitted “to lower layers for transmission.”</w:t>
      </w:r>
    </w:p>
    <w:p w14:paraId="6DF0D601" w14:textId="0CE7DEC8" w:rsidR="00B34B71" w:rsidRPr="00B34B71" w:rsidRDefault="00B34B71" w:rsidP="00B34B71">
      <w:r w:rsidRPr="00B34B71">
        <w:rPr>
          <w:b/>
          <w:bCs/>
        </w:rPr>
        <w:t>Observation</w:t>
      </w:r>
      <w:r w:rsidR="003F6C21">
        <w:rPr>
          <w:b/>
          <w:bCs/>
        </w:rPr>
        <w:t xml:space="preserve"> </w:t>
      </w:r>
      <w:r w:rsidR="00CD50CC">
        <w:rPr>
          <w:b/>
          <w:bCs/>
        </w:rPr>
        <w:t>3</w:t>
      </w:r>
      <w:r w:rsidRPr="00B34B71">
        <w:rPr>
          <w:b/>
          <w:bCs/>
        </w:rPr>
        <w:t>: A new low-priority SRB will not overcome the issue that a segmented RRC message must be completely transmitted prior to transmitting a new RRC message.</w:t>
      </w:r>
    </w:p>
    <w:p w14:paraId="20FEE65C" w14:textId="3AA225BC" w:rsidR="00382B4D" w:rsidRPr="00382B4D" w:rsidRDefault="00382B4D" w:rsidP="00B34B71">
      <w:pPr>
        <w:rPr>
          <w:b/>
          <w:bCs/>
        </w:rPr>
      </w:pPr>
      <w:r>
        <w:rPr>
          <w:b/>
          <w:bCs/>
        </w:rPr>
        <w:t>RRC Segmentation</w:t>
      </w:r>
    </w:p>
    <w:p w14:paraId="4B4ED880" w14:textId="107FEB66" w:rsidR="00B34B71" w:rsidRPr="00B34B71" w:rsidRDefault="00B34B71" w:rsidP="00B34B71">
      <w:r w:rsidRPr="00B34B71">
        <w:t xml:space="preserve">According to 38.323 </w:t>
      </w:r>
      <w:r w:rsidR="00732500">
        <w:t>[5]</w:t>
      </w:r>
      <w:r w:rsidRPr="00B34B71">
        <w:t xml:space="preserve">, “the maximum supported size of a PDCP SDU is 9000 bytes.” And, according to 38.306 </w:t>
      </w:r>
      <w:r w:rsidR="00732500">
        <w:t>[6]</w:t>
      </w:r>
      <w:r w:rsidRPr="00B34B71">
        <w:t>, “the RRC buffer size is defined as the maximum overall RRC configuration size that the UE is required to store. The RRC buffer size is 45Kbytes.”. Therefore, 5 segments are allowed by the current specification.</w:t>
      </w:r>
    </w:p>
    <w:p w14:paraId="2AD49552" w14:textId="77777777" w:rsidR="00B34B71" w:rsidRPr="00B34B71" w:rsidRDefault="00B34B71" w:rsidP="00B34B71">
      <w:r w:rsidRPr="00B34B71">
        <w:t>Of course, 5G supports high download speeds, exceeding 1gbps under very good channel conditions. However, a diverse, and sometimes fast changing, set of channel conditions and bandwidths are experienced by UEs. For example, a UE could be connected to a cell with a 10 or 20MHz bandwidth compared to a cell with a 50MHz or 100MHz bandwidth, and based on the channel conditions could be configured with a single layer through four-layer reception and an MCS with a low bit density, such as QPSK, or one with a high bit density, such as 256QAM. Due to the highly dynamic nature of the UE’s channel, available cells, and cell loading, we make some basic assumptions to estimate an average throughput and evaluate the time to download a model.</w:t>
      </w:r>
    </w:p>
    <w:p w14:paraId="38713711" w14:textId="77777777" w:rsidR="00B34B71" w:rsidRPr="00B34B71" w:rsidRDefault="00B34B71" w:rsidP="00B34B71">
      <w:r w:rsidRPr="00B34B71">
        <w:t>Here, we can consider some scenarios related to different model sizes. For simplicity, we will use models of 1MB, 10MB, and 100MB as examples. We will be liberal with our estimate and assume the following for the reception.</w:t>
      </w:r>
    </w:p>
    <w:p w14:paraId="6A5A5D91" w14:textId="77777777" w:rsidR="00B34B71" w:rsidRPr="00B34B71" w:rsidRDefault="00B34B71" w:rsidP="00B34B71">
      <w:pPr>
        <w:numPr>
          <w:ilvl w:val="0"/>
          <w:numId w:val="21"/>
        </w:numPr>
        <w:contextualSpacing/>
      </w:pPr>
      <w:r w:rsidRPr="00B34B71">
        <w:t>2-layer MIMO</w:t>
      </w:r>
    </w:p>
    <w:p w14:paraId="27C46E13" w14:textId="77777777" w:rsidR="00B34B71" w:rsidRPr="00B34B71" w:rsidRDefault="00B34B71" w:rsidP="00B34B71">
      <w:pPr>
        <w:numPr>
          <w:ilvl w:val="0"/>
          <w:numId w:val="21"/>
        </w:numPr>
        <w:contextualSpacing/>
      </w:pPr>
      <w:r w:rsidRPr="00B34B71">
        <w:t>MCS 16 with 64QAM</w:t>
      </w:r>
    </w:p>
    <w:p w14:paraId="35BFA60B" w14:textId="77777777" w:rsidR="00B34B71" w:rsidRPr="00B34B71" w:rsidRDefault="00B34B71" w:rsidP="00B34B71">
      <w:pPr>
        <w:numPr>
          <w:ilvl w:val="0"/>
          <w:numId w:val="21"/>
        </w:numPr>
        <w:contextualSpacing/>
      </w:pPr>
      <w:r w:rsidRPr="00B34B71">
        <w:t>100MHz, 30kHz SCS TDD (70% DL) / 20MHz, 15kHz SCS FDD</w:t>
      </w:r>
    </w:p>
    <w:p w14:paraId="1451D75B" w14:textId="77777777" w:rsidR="00B34B71" w:rsidRPr="00B34B71" w:rsidRDefault="00B34B71" w:rsidP="00B34B71">
      <w:pPr>
        <w:numPr>
          <w:ilvl w:val="0"/>
          <w:numId w:val="21"/>
        </w:numPr>
        <w:contextualSpacing/>
      </w:pPr>
      <w:r w:rsidRPr="00B34B71">
        <w:t>2 symbols allocated to the control channel</w:t>
      </w:r>
    </w:p>
    <w:p w14:paraId="22BF6BFE" w14:textId="77777777" w:rsidR="00B34B71" w:rsidRPr="00B34B71" w:rsidRDefault="00B34B71" w:rsidP="00B34B71">
      <w:pPr>
        <w:numPr>
          <w:ilvl w:val="0"/>
          <w:numId w:val="21"/>
        </w:numPr>
        <w:contextualSpacing/>
      </w:pPr>
      <w:r w:rsidRPr="00B34B71">
        <w:t xml:space="preserve">Ignore the resources taken by reference symbols </w:t>
      </w:r>
    </w:p>
    <w:p w14:paraId="249EB003" w14:textId="77777777" w:rsidR="00B34B71" w:rsidRPr="00B34B71" w:rsidRDefault="00B34B71" w:rsidP="00B34B71">
      <w:pPr>
        <w:numPr>
          <w:ilvl w:val="0"/>
          <w:numId w:val="21"/>
        </w:numPr>
        <w:contextualSpacing/>
      </w:pPr>
      <w:r w:rsidRPr="00B34B71">
        <w:t>The UE is allowed 20% (54RB / 20RB) of the resource blocks per slot.</w:t>
      </w:r>
    </w:p>
    <w:p w14:paraId="76D33A87" w14:textId="77777777" w:rsidR="00B34B71" w:rsidRPr="00B34B71" w:rsidRDefault="00B34B71" w:rsidP="00B34B71">
      <w:pPr>
        <w:numPr>
          <w:ilvl w:val="0"/>
          <w:numId w:val="21"/>
        </w:numPr>
        <w:contextualSpacing/>
      </w:pPr>
      <w:r w:rsidRPr="00B34B71">
        <w:t>The UE will receive a transmission per slot.</w:t>
      </w:r>
    </w:p>
    <w:p w14:paraId="20794C46" w14:textId="77777777" w:rsidR="00B34B71" w:rsidRPr="00B34B71" w:rsidRDefault="00B34B71" w:rsidP="00B34B71">
      <w:pPr>
        <w:numPr>
          <w:ilvl w:val="0"/>
          <w:numId w:val="21"/>
        </w:numPr>
        <w:contextualSpacing/>
      </w:pPr>
      <w:r w:rsidRPr="00B34B71">
        <w:t>No retransmissions required.</w:t>
      </w:r>
    </w:p>
    <w:p w14:paraId="3DA96999" w14:textId="77777777" w:rsidR="00BF6A19" w:rsidRDefault="00BF6A19" w:rsidP="00B34B71"/>
    <w:p w14:paraId="686FDD63" w14:textId="5FF1D866" w:rsidR="00B34B71" w:rsidRPr="00B34B71" w:rsidRDefault="00B34B71" w:rsidP="00B34B71">
      <w:r w:rsidRPr="00B34B71">
        <w:t xml:space="preserve">Table 5.1.3.1-2, MCS index table 2 for PDSCH </w:t>
      </w:r>
      <w:r w:rsidR="00732500">
        <w:t>[7]</w:t>
      </w:r>
      <w:r w:rsidRPr="00B34B71">
        <w:t>, indicates a modulation order of 6 (64QAM) and code rate of 719 for MCS 16. Each 64QAM symbol represents 6 bits. Given our assumption about the control channel occupying 2 OFDM symbols, we are left with the following bits per resource block.</w:t>
      </w:r>
    </w:p>
    <w:p w14:paraId="268D1581" w14:textId="77777777" w:rsidR="00B34B71" w:rsidRPr="00B34B71" w:rsidRDefault="00B34B71" w:rsidP="00B34B71">
      <m:oMathPara>
        <m:oMath>
          <m:r>
            <w:rPr>
              <w:rFonts w:ascii="Cambria Math" w:hAnsi="Cambria Math"/>
            </w:rPr>
            <m:t>bprb= 6*</m:t>
          </m:r>
          <m:f>
            <m:fPr>
              <m:ctrlPr>
                <w:rPr>
                  <w:rFonts w:ascii="Cambria Math" w:hAnsi="Cambria Math"/>
                  <w:i/>
                </w:rPr>
              </m:ctrlPr>
            </m:fPr>
            <m:num>
              <m:r>
                <w:rPr>
                  <w:rFonts w:ascii="Cambria Math" w:hAnsi="Cambria Math"/>
                </w:rPr>
                <m:t>719</m:t>
              </m:r>
            </m:num>
            <m:den>
              <m:r>
                <w:rPr>
                  <w:rFonts w:ascii="Cambria Math" w:hAnsi="Cambria Math"/>
                </w:rPr>
                <m:t>1024</m:t>
              </m:r>
            </m:den>
          </m:f>
          <m:r>
            <w:rPr>
              <w:rFonts w:ascii="Cambria Math" w:hAnsi="Cambria Math"/>
            </w:rPr>
            <m:t>*</m:t>
          </m:r>
          <m:d>
            <m:dPr>
              <m:ctrlPr>
                <w:rPr>
                  <w:rFonts w:ascii="Cambria Math" w:hAnsi="Cambria Math"/>
                  <w:i/>
                </w:rPr>
              </m:ctrlPr>
            </m:dPr>
            <m:e>
              <m:r>
                <w:rPr>
                  <w:rFonts w:ascii="Cambria Math" w:hAnsi="Cambria Math"/>
                </w:rPr>
                <m:t>14 OFDM Symbols-2 OFDM Symbols</m:t>
              </m:r>
            </m:e>
          </m:d>
          <m:r>
            <w:rPr>
              <w:rFonts w:ascii="Cambria Math" w:hAnsi="Cambria Math"/>
            </w:rPr>
            <m:t>*</m:t>
          </m:r>
          <m:f>
            <m:fPr>
              <m:ctrlPr>
                <w:rPr>
                  <w:rFonts w:ascii="Cambria Math" w:hAnsi="Cambria Math"/>
                  <w:i/>
                </w:rPr>
              </m:ctrlPr>
            </m:fPr>
            <m:num>
              <m:r>
                <w:rPr>
                  <w:rFonts w:ascii="Cambria Math" w:hAnsi="Cambria Math"/>
                </w:rPr>
                <m:t>12RE</m:t>
              </m:r>
            </m:num>
            <m:den>
              <m:r>
                <w:rPr>
                  <w:rFonts w:ascii="Cambria Math" w:hAnsi="Cambria Math"/>
                </w:rPr>
                <m:t>1RB</m:t>
              </m:r>
            </m:den>
          </m:f>
          <m:r>
            <w:rPr>
              <w:rFonts w:ascii="Cambria Math" w:hAnsi="Cambria Math"/>
            </w:rPr>
            <m:t>=607</m:t>
          </m:r>
          <m:f>
            <m:fPr>
              <m:ctrlPr>
                <w:rPr>
                  <w:rFonts w:ascii="Cambria Math" w:hAnsi="Cambria Math"/>
                  <w:i/>
                </w:rPr>
              </m:ctrlPr>
            </m:fPr>
            <m:num>
              <m:r>
                <w:rPr>
                  <w:rFonts w:ascii="Cambria Math" w:hAnsi="Cambria Math"/>
                </w:rPr>
                <m:t>bits</m:t>
              </m:r>
            </m:num>
            <m:den>
              <m:r>
                <w:rPr>
                  <w:rFonts w:ascii="Cambria Math" w:hAnsi="Cambria Math"/>
                </w:rPr>
                <m:t>RB</m:t>
              </m:r>
            </m:den>
          </m:f>
        </m:oMath>
      </m:oMathPara>
    </w:p>
    <w:p w14:paraId="0D7EB6FB" w14:textId="77777777" w:rsidR="00B34B71" w:rsidRPr="00B34B71" w:rsidRDefault="00B34B71" w:rsidP="00B34B71">
      <w:r w:rsidRPr="00B34B71">
        <w:t>In the case of our TDD cell, where 70% of the resources are dedicated to the DL, we have 2000 slots, 54RB available to the UE per slot and 2 layers to transmit on. The following throughput is calculated.</w:t>
      </w:r>
    </w:p>
    <w:p w14:paraId="513E68BD" w14:textId="77777777" w:rsidR="00B34B71" w:rsidRPr="00B34B71" w:rsidRDefault="00B34B71" w:rsidP="00B34B71">
      <m:oMathPara>
        <m:oMath>
          <m:r>
            <w:rPr>
              <w:rFonts w:ascii="Cambria Math" w:hAnsi="Cambria Math"/>
            </w:rPr>
            <m:t>70%*2000 slots*</m:t>
          </m:r>
          <m:f>
            <m:fPr>
              <m:ctrlPr>
                <w:rPr>
                  <w:rFonts w:ascii="Cambria Math" w:hAnsi="Cambria Math"/>
                  <w:i/>
                </w:rPr>
              </m:ctrlPr>
            </m:fPr>
            <m:num>
              <m:r>
                <w:rPr>
                  <w:rFonts w:ascii="Cambria Math" w:hAnsi="Cambria Math"/>
                </w:rPr>
                <m:t>54RB</m:t>
              </m:r>
            </m:num>
            <m:den>
              <m:r>
                <w:rPr>
                  <w:rFonts w:ascii="Cambria Math" w:hAnsi="Cambria Math"/>
                </w:rPr>
                <m:t>slot</m:t>
              </m:r>
            </m:den>
          </m:f>
          <m:r>
            <w:rPr>
              <w:rFonts w:ascii="Cambria Math" w:hAnsi="Cambria Math"/>
            </w:rPr>
            <m:t>*2 layers*607</m:t>
          </m:r>
          <m:f>
            <m:fPr>
              <m:ctrlPr>
                <w:rPr>
                  <w:rFonts w:ascii="Cambria Math" w:hAnsi="Cambria Math"/>
                  <w:i/>
                </w:rPr>
              </m:ctrlPr>
            </m:fPr>
            <m:num>
              <m:r>
                <w:rPr>
                  <w:rFonts w:ascii="Cambria Math" w:hAnsi="Cambria Math"/>
                </w:rPr>
                <m:t>bits</m:t>
              </m:r>
            </m:num>
            <m:den>
              <m:r>
                <w:rPr>
                  <w:rFonts w:ascii="Cambria Math" w:hAnsi="Cambria Math"/>
                </w:rPr>
                <m:t>RB</m:t>
              </m:r>
            </m:den>
          </m:f>
          <m:r>
            <w:rPr>
              <w:rFonts w:ascii="Cambria Math" w:hAnsi="Cambria Math"/>
            </w:rPr>
            <m:t>=91.8Mbps</m:t>
          </m:r>
        </m:oMath>
      </m:oMathPara>
    </w:p>
    <w:p w14:paraId="62450548" w14:textId="77777777" w:rsidR="00B34B71" w:rsidRPr="00B34B71" w:rsidRDefault="00B34B71" w:rsidP="00B34B71">
      <w:r w:rsidRPr="00B34B71">
        <w:t>And in the case of our FDD cell, we have 1000 slots, 20RB available to the UE per slot, and 2 layers to transmit on. The following throughput is calculated.</w:t>
      </w:r>
    </w:p>
    <w:p w14:paraId="0CE88735" w14:textId="77777777" w:rsidR="00B34B71" w:rsidRPr="00B34B71" w:rsidRDefault="00B34B71" w:rsidP="00B34B71">
      <m:oMathPara>
        <m:oMath>
          <m:r>
            <w:rPr>
              <w:rFonts w:ascii="Cambria Math" w:hAnsi="Cambria Math"/>
            </w:rPr>
            <m:t>1000 slots*</m:t>
          </m:r>
          <m:f>
            <m:fPr>
              <m:ctrlPr>
                <w:rPr>
                  <w:rFonts w:ascii="Cambria Math" w:hAnsi="Cambria Math"/>
                  <w:i/>
                </w:rPr>
              </m:ctrlPr>
            </m:fPr>
            <m:num>
              <m:r>
                <w:rPr>
                  <w:rFonts w:ascii="Cambria Math" w:hAnsi="Cambria Math"/>
                </w:rPr>
                <m:t>20RB</m:t>
              </m:r>
            </m:num>
            <m:den>
              <m:r>
                <w:rPr>
                  <w:rFonts w:ascii="Cambria Math" w:hAnsi="Cambria Math"/>
                </w:rPr>
                <m:t>slot</m:t>
              </m:r>
            </m:den>
          </m:f>
          <m:r>
            <w:rPr>
              <w:rFonts w:ascii="Cambria Math" w:hAnsi="Cambria Math"/>
            </w:rPr>
            <m:t>*2 layers*607</m:t>
          </m:r>
          <m:f>
            <m:fPr>
              <m:ctrlPr>
                <w:rPr>
                  <w:rFonts w:ascii="Cambria Math" w:hAnsi="Cambria Math"/>
                  <w:i/>
                </w:rPr>
              </m:ctrlPr>
            </m:fPr>
            <m:num>
              <m:r>
                <w:rPr>
                  <w:rFonts w:ascii="Cambria Math" w:hAnsi="Cambria Math"/>
                </w:rPr>
                <m:t>bits</m:t>
              </m:r>
            </m:num>
            <m:den>
              <m:r>
                <w:rPr>
                  <w:rFonts w:ascii="Cambria Math" w:hAnsi="Cambria Math"/>
                </w:rPr>
                <m:t>RB</m:t>
              </m:r>
            </m:den>
          </m:f>
          <m:r>
            <w:rPr>
              <w:rFonts w:ascii="Cambria Math" w:hAnsi="Cambria Math"/>
            </w:rPr>
            <m:t>=24.3Mbps</m:t>
          </m:r>
        </m:oMath>
      </m:oMathPara>
    </w:p>
    <w:p w14:paraId="4F97ACE2" w14:textId="77777777" w:rsidR="00B34B71" w:rsidRPr="00B34B71" w:rsidRDefault="00B34B71" w:rsidP="00B34B71">
      <w:r w:rsidRPr="00B34B71">
        <w:t xml:space="preserve">In </w:t>
      </w:r>
      <w:r w:rsidRPr="00B34B71">
        <w:fldChar w:fldCharType="begin"/>
      </w:r>
      <w:r w:rsidRPr="00B34B71">
        <w:instrText xml:space="preserve"> REF _Ref149849543 \h </w:instrText>
      </w:r>
      <w:r w:rsidRPr="00B34B71">
        <w:fldChar w:fldCharType="separate"/>
      </w:r>
      <w:r w:rsidRPr="00B34B71">
        <w:t xml:space="preserve">Table </w:t>
      </w:r>
      <w:r w:rsidRPr="00B34B71">
        <w:rPr>
          <w:noProof/>
        </w:rPr>
        <w:t>1</w:t>
      </w:r>
      <w:r w:rsidRPr="00B34B71">
        <w:fldChar w:fldCharType="end"/>
      </w:r>
      <w:r w:rsidRPr="00B34B71">
        <w:t xml:space="preserve"> below, the throughputs, based on the assumptions provided previously, are applied to models of sizes 1MB, 10MB, and 100MB for the 100MHz and 20MHz cells to determine the model transfer time.</w:t>
      </w:r>
    </w:p>
    <w:p w14:paraId="08D02F86" w14:textId="77777777" w:rsidR="00B34B71" w:rsidRPr="00B34B71" w:rsidRDefault="00B34B71" w:rsidP="00B34B71">
      <w:pPr>
        <w:keepNext/>
        <w:overflowPunct w:val="0"/>
        <w:autoSpaceDE w:val="0"/>
        <w:autoSpaceDN w:val="0"/>
        <w:adjustRightInd w:val="0"/>
        <w:spacing w:before="120" w:after="120"/>
        <w:rPr>
          <w:b/>
          <w:lang w:eastAsia="en-GB"/>
        </w:rPr>
      </w:pPr>
      <w:bookmarkStart w:id="0" w:name="_Ref149849543"/>
      <w:r w:rsidRPr="00B34B71">
        <w:rPr>
          <w:b/>
          <w:lang w:eastAsia="en-GB"/>
        </w:rPr>
        <w:t xml:space="preserve">Table </w:t>
      </w:r>
      <w:r w:rsidRPr="00B34B71">
        <w:rPr>
          <w:b/>
          <w:lang w:eastAsia="en-GB"/>
        </w:rPr>
        <w:fldChar w:fldCharType="begin"/>
      </w:r>
      <w:r w:rsidRPr="00B34B71">
        <w:rPr>
          <w:b/>
          <w:lang w:eastAsia="en-GB"/>
        </w:rPr>
        <w:instrText>SEQ Table \* ARABIC</w:instrText>
      </w:r>
      <w:r w:rsidRPr="00B34B71">
        <w:rPr>
          <w:b/>
          <w:lang w:eastAsia="en-GB"/>
        </w:rPr>
        <w:fldChar w:fldCharType="separate"/>
      </w:r>
      <w:r w:rsidRPr="00B34B71">
        <w:rPr>
          <w:b/>
          <w:noProof/>
          <w:lang w:eastAsia="en-GB"/>
        </w:rPr>
        <w:t>1</w:t>
      </w:r>
      <w:r w:rsidRPr="00B34B71">
        <w:rPr>
          <w:b/>
          <w:lang w:eastAsia="en-GB"/>
        </w:rPr>
        <w:fldChar w:fldCharType="end"/>
      </w:r>
      <w:bookmarkEnd w:id="0"/>
      <w:r w:rsidRPr="00B34B71">
        <w:rPr>
          <w:b/>
          <w:lang w:eastAsia="en-GB"/>
        </w:rPr>
        <w:t>: Calculation of Number of Segments and Time to Transfer Models for CP-based Model Transfer</w:t>
      </w:r>
    </w:p>
    <w:tbl>
      <w:tblPr>
        <w:tblStyle w:val="TableGrid1"/>
        <w:tblW w:w="0" w:type="auto"/>
        <w:tblLook w:val="04A0" w:firstRow="1" w:lastRow="0" w:firstColumn="1" w:lastColumn="0" w:noHBand="0" w:noVBand="1"/>
      </w:tblPr>
      <w:tblGrid>
        <w:gridCol w:w="1271"/>
        <w:gridCol w:w="1985"/>
        <w:gridCol w:w="3078"/>
        <w:gridCol w:w="3297"/>
      </w:tblGrid>
      <w:tr w:rsidR="00B34B71" w:rsidRPr="00B34B71" w14:paraId="3B7DB2A2" w14:textId="77777777" w:rsidTr="00CE16BF">
        <w:tc>
          <w:tcPr>
            <w:tcW w:w="1271" w:type="dxa"/>
          </w:tcPr>
          <w:p w14:paraId="35BBDDDB" w14:textId="77777777" w:rsidR="00B34B71" w:rsidRPr="00B34B71" w:rsidRDefault="00B34B71" w:rsidP="00B34B71">
            <w:r w:rsidRPr="00B34B71">
              <w:t>Model Size</w:t>
            </w:r>
          </w:p>
        </w:tc>
        <w:tc>
          <w:tcPr>
            <w:tcW w:w="1985" w:type="dxa"/>
          </w:tcPr>
          <w:p w14:paraId="033ADA8D" w14:textId="77777777" w:rsidR="00B34B71" w:rsidRPr="00B34B71" w:rsidRDefault="00B34B71" w:rsidP="00B34B71">
            <w:r w:rsidRPr="00B34B71">
              <w:t>Number of Segments</w:t>
            </w:r>
          </w:p>
        </w:tc>
        <w:tc>
          <w:tcPr>
            <w:tcW w:w="3078" w:type="dxa"/>
          </w:tcPr>
          <w:p w14:paraId="03DF0B59" w14:textId="77777777" w:rsidR="00B34B71" w:rsidRPr="00B34B71" w:rsidRDefault="00B34B71" w:rsidP="00B34B71">
            <w:r w:rsidRPr="00B34B71">
              <w:t>Time to Transfer (100MHz)</w:t>
            </w:r>
          </w:p>
        </w:tc>
        <w:tc>
          <w:tcPr>
            <w:tcW w:w="3297" w:type="dxa"/>
          </w:tcPr>
          <w:p w14:paraId="1EC30AB0" w14:textId="77777777" w:rsidR="00B34B71" w:rsidRPr="00B34B71" w:rsidRDefault="00B34B71" w:rsidP="00B34B71">
            <w:r w:rsidRPr="00B34B71">
              <w:t>Time to Transfer (20MHz)</w:t>
            </w:r>
          </w:p>
        </w:tc>
      </w:tr>
      <w:tr w:rsidR="00B34B71" w:rsidRPr="00B34B71" w14:paraId="795C3F0D" w14:textId="77777777" w:rsidTr="00CE16BF">
        <w:tc>
          <w:tcPr>
            <w:tcW w:w="1271" w:type="dxa"/>
          </w:tcPr>
          <w:p w14:paraId="603ABDFD" w14:textId="77777777" w:rsidR="00B34B71" w:rsidRPr="00B34B71" w:rsidRDefault="00B34B71" w:rsidP="00B34B71">
            <w:r w:rsidRPr="00B34B71">
              <w:t>1MB</w:t>
            </w:r>
          </w:p>
        </w:tc>
        <w:tc>
          <w:tcPr>
            <w:tcW w:w="1985" w:type="dxa"/>
          </w:tcPr>
          <w:p w14:paraId="48977FDB" w14:textId="77777777" w:rsidR="00B34B71" w:rsidRPr="00B34B71" w:rsidRDefault="00B34B71" w:rsidP="00B34B71">
            <w:r w:rsidRPr="00B34B71">
              <w:t>112</w:t>
            </w:r>
          </w:p>
        </w:tc>
        <w:tc>
          <w:tcPr>
            <w:tcW w:w="3078" w:type="dxa"/>
          </w:tcPr>
          <w:p w14:paraId="7710D271" w14:textId="77777777" w:rsidR="00B34B71" w:rsidRPr="00B34B71" w:rsidRDefault="00B34B71" w:rsidP="00B34B71">
            <w:r w:rsidRPr="00B34B71">
              <w:t>87ms</w:t>
            </w:r>
          </w:p>
        </w:tc>
        <w:tc>
          <w:tcPr>
            <w:tcW w:w="3297" w:type="dxa"/>
          </w:tcPr>
          <w:p w14:paraId="5B6629BE" w14:textId="77777777" w:rsidR="00B34B71" w:rsidRPr="00B34B71" w:rsidRDefault="00B34B71" w:rsidP="00B34B71">
            <w:r w:rsidRPr="00B34B71">
              <w:t>329ms</w:t>
            </w:r>
          </w:p>
        </w:tc>
      </w:tr>
      <w:tr w:rsidR="00B34B71" w:rsidRPr="00B34B71" w14:paraId="32E9B007" w14:textId="77777777" w:rsidTr="00CE16BF">
        <w:tc>
          <w:tcPr>
            <w:tcW w:w="1271" w:type="dxa"/>
          </w:tcPr>
          <w:p w14:paraId="62EBDE8A" w14:textId="77777777" w:rsidR="00B34B71" w:rsidRPr="00B34B71" w:rsidRDefault="00B34B71" w:rsidP="00B34B71">
            <w:r w:rsidRPr="00B34B71">
              <w:t>10MB</w:t>
            </w:r>
          </w:p>
        </w:tc>
        <w:tc>
          <w:tcPr>
            <w:tcW w:w="1985" w:type="dxa"/>
          </w:tcPr>
          <w:p w14:paraId="0DC5480D" w14:textId="77777777" w:rsidR="00B34B71" w:rsidRPr="00B34B71" w:rsidRDefault="00B34B71" w:rsidP="00B34B71">
            <w:r w:rsidRPr="00B34B71">
              <w:t>1120</w:t>
            </w:r>
          </w:p>
        </w:tc>
        <w:tc>
          <w:tcPr>
            <w:tcW w:w="3078" w:type="dxa"/>
          </w:tcPr>
          <w:p w14:paraId="6469CE1F" w14:textId="77777777" w:rsidR="00B34B71" w:rsidRPr="00B34B71" w:rsidRDefault="00B34B71" w:rsidP="00B34B71">
            <w:r w:rsidRPr="00B34B71">
              <w:t>870ms</w:t>
            </w:r>
          </w:p>
        </w:tc>
        <w:tc>
          <w:tcPr>
            <w:tcW w:w="3297" w:type="dxa"/>
          </w:tcPr>
          <w:p w14:paraId="4A156C54" w14:textId="77777777" w:rsidR="00B34B71" w:rsidRPr="00B34B71" w:rsidRDefault="00B34B71" w:rsidP="00B34B71">
            <w:r w:rsidRPr="00B34B71">
              <w:t>3.29s</w:t>
            </w:r>
          </w:p>
        </w:tc>
      </w:tr>
      <w:tr w:rsidR="00B34B71" w:rsidRPr="00B34B71" w14:paraId="36B027AB" w14:textId="77777777" w:rsidTr="00CE16BF">
        <w:tc>
          <w:tcPr>
            <w:tcW w:w="1271" w:type="dxa"/>
          </w:tcPr>
          <w:p w14:paraId="4A12CA65" w14:textId="77777777" w:rsidR="00B34B71" w:rsidRPr="00B34B71" w:rsidRDefault="00B34B71" w:rsidP="00B34B71">
            <w:r w:rsidRPr="00B34B71">
              <w:lastRenderedPageBreak/>
              <w:t>100MB</w:t>
            </w:r>
          </w:p>
        </w:tc>
        <w:tc>
          <w:tcPr>
            <w:tcW w:w="1985" w:type="dxa"/>
          </w:tcPr>
          <w:p w14:paraId="4DEB53F7" w14:textId="77777777" w:rsidR="00B34B71" w:rsidRPr="00B34B71" w:rsidRDefault="00B34B71" w:rsidP="00B34B71">
            <w:r w:rsidRPr="00B34B71">
              <w:t>11200</w:t>
            </w:r>
          </w:p>
        </w:tc>
        <w:tc>
          <w:tcPr>
            <w:tcW w:w="3078" w:type="dxa"/>
          </w:tcPr>
          <w:p w14:paraId="58010B50" w14:textId="77777777" w:rsidR="00B34B71" w:rsidRPr="00B34B71" w:rsidRDefault="00B34B71" w:rsidP="00B34B71">
            <w:r w:rsidRPr="00B34B71">
              <w:t>8.71s</w:t>
            </w:r>
          </w:p>
        </w:tc>
        <w:tc>
          <w:tcPr>
            <w:tcW w:w="3297" w:type="dxa"/>
          </w:tcPr>
          <w:p w14:paraId="3B1BDB12" w14:textId="77777777" w:rsidR="00B34B71" w:rsidRPr="00B34B71" w:rsidRDefault="00B34B71" w:rsidP="00B34B71">
            <w:r w:rsidRPr="00B34B71">
              <w:t>32.9s</w:t>
            </w:r>
          </w:p>
        </w:tc>
      </w:tr>
    </w:tbl>
    <w:p w14:paraId="1EEE94B4" w14:textId="77777777" w:rsidR="00B34B71" w:rsidRPr="00B34B71" w:rsidRDefault="00B34B71" w:rsidP="00B34B71"/>
    <w:p w14:paraId="41CB7F1A" w14:textId="5C07B112" w:rsidR="00B34B71" w:rsidRPr="00B34B71" w:rsidRDefault="00B34B71" w:rsidP="00B34B71">
      <w:pPr>
        <w:rPr>
          <w:b/>
          <w:bCs/>
        </w:rPr>
      </w:pPr>
      <w:r w:rsidRPr="00B34B71">
        <w:rPr>
          <w:b/>
          <w:bCs/>
        </w:rPr>
        <w:t>Observation</w:t>
      </w:r>
      <w:r w:rsidR="006D2FCF">
        <w:rPr>
          <w:b/>
          <w:bCs/>
        </w:rPr>
        <w:t xml:space="preserve"> </w:t>
      </w:r>
      <w:r w:rsidR="00CD50CC">
        <w:rPr>
          <w:b/>
          <w:bCs/>
        </w:rPr>
        <w:t>4</w:t>
      </w:r>
      <w:r w:rsidRPr="00B34B71">
        <w:rPr>
          <w:b/>
          <w:bCs/>
        </w:rPr>
        <w:t>: Under relatively good channel conditions and while connected to a cell with a high bandwidth, a small data transfer, e.g., a 1MB model transfer, could take nearly 100ms, and larger data transfers, e.g., 10-100MB model transfers, could take nearly 10 seconds.</w:t>
      </w:r>
    </w:p>
    <w:p w14:paraId="36D7EDC0" w14:textId="2E20EE96" w:rsidR="00B34B71" w:rsidRPr="00B34B71" w:rsidRDefault="00B34B71" w:rsidP="00B34B71">
      <w:pPr>
        <w:rPr>
          <w:b/>
          <w:bCs/>
        </w:rPr>
      </w:pPr>
      <w:r w:rsidRPr="00B34B71">
        <w:rPr>
          <w:b/>
          <w:bCs/>
        </w:rPr>
        <w:t>Observation</w:t>
      </w:r>
      <w:r w:rsidR="006D2FCF">
        <w:rPr>
          <w:b/>
          <w:bCs/>
        </w:rPr>
        <w:t xml:space="preserve"> </w:t>
      </w:r>
      <w:r w:rsidR="00CD50CC">
        <w:rPr>
          <w:b/>
          <w:bCs/>
        </w:rPr>
        <w:t>5</w:t>
      </w:r>
      <w:r w:rsidRPr="00B34B71">
        <w:rPr>
          <w:b/>
          <w:bCs/>
        </w:rPr>
        <w:t>: Under relatively good channel conditions and while connected to a cell with a medium bandwidth, a small data transfer, e.g., a 1MB model transfer, could take more than 300ms, and larger data transfers, e.g., 10-100MB model transfers, could take more than to 33s.</w:t>
      </w:r>
    </w:p>
    <w:p w14:paraId="14C8A868" w14:textId="77777777" w:rsidR="00B34B71" w:rsidRPr="00B34B71" w:rsidRDefault="00B34B71" w:rsidP="00B34B71">
      <w:r w:rsidRPr="00B34B71">
        <w:t>The RRC message transmission delay associated with using the control plane to transfer models is unacceptable even when the model is small and channel conditions are good. During the time to transfer a model over RRC, a handover command or a voice call could be delayed.</w:t>
      </w:r>
    </w:p>
    <w:p w14:paraId="70F16676" w14:textId="0112B5E3" w:rsidR="00B34B71" w:rsidRDefault="00B34B71" w:rsidP="00B34B71">
      <w:pPr>
        <w:rPr>
          <w:b/>
          <w:bCs/>
        </w:rPr>
      </w:pPr>
      <w:r w:rsidRPr="00B34B71">
        <w:rPr>
          <w:b/>
          <w:bCs/>
        </w:rPr>
        <w:t>Proposal</w:t>
      </w:r>
      <w:r w:rsidR="006B40E2">
        <w:rPr>
          <w:b/>
          <w:bCs/>
        </w:rPr>
        <w:t xml:space="preserve"> 1</w:t>
      </w:r>
      <w:r w:rsidRPr="00B34B71">
        <w:rPr>
          <w:b/>
          <w:bCs/>
        </w:rPr>
        <w:t>: Do not increase the number of RRC segments to support control plane model transfer, e.g., to support control plane model transfer/delivery in cases 1a and 2a.</w:t>
      </w:r>
    </w:p>
    <w:p w14:paraId="4B6CB76F" w14:textId="0DD7F5E3" w:rsidR="00173A92" w:rsidRDefault="00F801D0" w:rsidP="00F801D0">
      <w:pPr>
        <w:pStyle w:val="Heading2"/>
      </w:pPr>
      <w:r>
        <w:t>2.2</w:t>
      </w:r>
      <w:r>
        <w:tab/>
        <w:t>User Plane Model Transfer</w:t>
      </w:r>
    </w:p>
    <w:p w14:paraId="66DA53E9" w14:textId="0D0C39D8" w:rsidR="00332036" w:rsidRDefault="00373CFB" w:rsidP="00F801D0">
      <w:r>
        <w:t xml:space="preserve">Model transfer over the user plane resolves the </w:t>
      </w:r>
      <w:r w:rsidRPr="00FD51A9">
        <w:rPr>
          <w:i/>
          <w:iCs/>
        </w:rPr>
        <w:t>model size</w:t>
      </w:r>
      <w:r w:rsidR="00F15350">
        <w:t>,</w:t>
      </w:r>
      <w:r>
        <w:t xml:space="preserve"> </w:t>
      </w:r>
      <w:r w:rsidRPr="00FD51A9">
        <w:rPr>
          <w:i/>
          <w:iCs/>
        </w:rPr>
        <w:t>continuity</w:t>
      </w:r>
      <w:r w:rsidR="00F15350">
        <w:t>, and QoS</w:t>
      </w:r>
      <w:r w:rsidR="00C463E7">
        <w:t xml:space="preserve"> problems. However, </w:t>
      </w:r>
      <w:r w:rsidR="00332036">
        <w:t>the following evaluations were provided for</w:t>
      </w:r>
      <w:r w:rsidR="00F15350">
        <w:t xml:space="preserve"> network controllability for</w:t>
      </w:r>
      <w:r w:rsidR="00332036">
        <w:t xml:space="preserve"> the UP cases.</w:t>
      </w:r>
    </w:p>
    <w:tbl>
      <w:tblPr>
        <w:tblStyle w:val="TableGrid"/>
        <w:tblW w:w="9634" w:type="dxa"/>
        <w:tblLook w:val="04A0" w:firstRow="1" w:lastRow="0" w:firstColumn="1" w:lastColumn="0" w:noHBand="0" w:noVBand="1"/>
      </w:tblPr>
      <w:tblGrid>
        <w:gridCol w:w="1129"/>
        <w:gridCol w:w="8505"/>
      </w:tblGrid>
      <w:tr w:rsidR="00F15350" w:rsidRPr="00133C49" w14:paraId="4FCDD10D" w14:textId="77777777" w:rsidTr="00FD51A9">
        <w:tc>
          <w:tcPr>
            <w:tcW w:w="1129" w:type="dxa"/>
            <w:shd w:val="clear" w:color="auto" w:fill="D9D9D9" w:themeFill="background1" w:themeFillShade="D9"/>
          </w:tcPr>
          <w:p w14:paraId="4C87B0AE" w14:textId="2A23E1B6" w:rsidR="00F15350" w:rsidRPr="00133C49" w:rsidRDefault="00F15350" w:rsidP="00B62906">
            <w:pPr>
              <w:keepNext/>
              <w:keepLines/>
              <w:rPr>
                <w:rFonts w:ascii="Arial" w:hAnsi="Arial" w:cs="Arial"/>
                <w:b/>
                <w:bCs/>
                <w:sz w:val="18"/>
                <w:szCs w:val="18"/>
              </w:rPr>
            </w:pPr>
            <w:r>
              <w:rPr>
                <w:rFonts w:ascii="Arial" w:hAnsi="Arial" w:cs="Arial"/>
                <w:b/>
                <w:bCs/>
                <w:sz w:val="18"/>
                <w:szCs w:val="18"/>
              </w:rPr>
              <w:t>Case</w:t>
            </w:r>
          </w:p>
        </w:tc>
        <w:tc>
          <w:tcPr>
            <w:tcW w:w="8505" w:type="dxa"/>
            <w:shd w:val="clear" w:color="auto" w:fill="D9D9D9" w:themeFill="background1" w:themeFillShade="D9"/>
          </w:tcPr>
          <w:p w14:paraId="202D070B" w14:textId="3A7E7848" w:rsidR="00F15350" w:rsidRPr="00133C49" w:rsidRDefault="00F15350" w:rsidP="00B62906">
            <w:pPr>
              <w:keepNext/>
              <w:keepLines/>
              <w:rPr>
                <w:rFonts w:ascii="Arial" w:hAnsi="Arial" w:cs="Arial"/>
                <w:b/>
                <w:bCs/>
                <w:sz w:val="18"/>
                <w:szCs w:val="18"/>
              </w:rPr>
            </w:pPr>
            <w:r>
              <w:rPr>
                <w:rFonts w:ascii="Arial" w:hAnsi="Arial" w:cs="Arial"/>
                <w:b/>
                <w:bCs/>
                <w:sz w:val="18"/>
                <w:szCs w:val="18"/>
              </w:rPr>
              <w:t>A3. Network Controllability</w:t>
            </w:r>
          </w:p>
        </w:tc>
      </w:tr>
      <w:tr w:rsidR="00F15350" w:rsidRPr="00133C49" w14:paraId="4AA18A33" w14:textId="77777777" w:rsidTr="00FD51A9">
        <w:tc>
          <w:tcPr>
            <w:tcW w:w="1129" w:type="dxa"/>
          </w:tcPr>
          <w:p w14:paraId="620D4A79" w14:textId="2CA5A046" w:rsidR="00F15350" w:rsidRPr="00133C49" w:rsidRDefault="00F15350" w:rsidP="00B62906">
            <w:pPr>
              <w:keepNext/>
              <w:keepLines/>
              <w:rPr>
                <w:rFonts w:ascii="Arial" w:hAnsi="Arial" w:cs="Arial"/>
                <w:sz w:val="18"/>
                <w:szCs w:val="18"/>
              </w:rPr>
            </w:pPr>
            <w:r>
              <w:rPr>
                <w:rFonts w:ascii="Arial" w:hAnsi="Arial" w:cs="Arial"/>
                <w:sz w:val="18"/>
                <w:szCs w:val="18"/>
              </w:rPr>
              <w:t>1b</w:t>
            </w:r>
            <w:r w:rsidR="00A17D32">
              <w:rPr>
                <w:rFonts w:ascii="Arial" w:hAnsi="Arial" w:cs="Arial"/>
                <w:sz w:val="18"/>
                <w:szCs w:val="18"/>
              </w:rPr>
              <w:t xml:space="preserve"> (gNb)</w:t>
            </w:r>
          </w:p>
        </w:tc>
        <w:tc>
          <w:tcPr>
            <w:tcW w:w="8505" w:type="dxa"/>
          </w:tcPr>
          <w:p w14:paraId="25D9D2BD" w14:textId="3EFF818C" w:rsidR="00F15350" w:rsidRPr="00133C49" w:rsidRDefault="00F15350" w:rsidP="00B62906">
            <w:pPr>
              <w:keepNext/>
              <w:keepLines/>
              <w:rPr>
                <w:rFonts w:ascii="Arial" w:hAnsi="Arial" w:cs="Arial"/>
                <w:sz w:val="18"/>
                <w:szCs w:val="18"/>
              </w:rPr>
            </w:pPr>
            <w:r w:rsidRPr="00997DFA">
              <w:rPr>
                <w:rFonts w:ascii="Arial" w:hAnsi="Arial" w:cs="Arial"/>
                <w:sz w:val="18"/>
                <w:szCs w:val="18"/>
              </w:rPr>
              <w:t xml:space="preserve">Management and interaction between UE and gNB appear to be feasible </w:t>
            </w:r>
            <w:r w:rsidRPr="00FD51A9">
              <w:rPr>
                <w:rFonts w:ascii="Arial" w:hAnsi="Arial" w:cs="Arial"/>
                <w:sz w:val="18"/>
                <w:szCs w:val="18"/>
                <w:highlight w:val="yellow"/>
              </w:rPr>
              <w:t>but not supported</w:t>
            </w:r>
          </w:p>
        </w:tc>
      </w:tr>
      <w:tr w:rsidR="00F15350" w:rsidRPr="00133C49" w14:paraId="024A4FE3" w14:textId="77777777" w:rsidTr="00FD51A9">
        <w:tc>
          <w:tcPr>
            <w:tcW w:w="1129" w:type="dxa"/>
          </w:tcPr>
          <w:p w14:paraId="24CBFCCF" w14:textId="046489FC" w:rsidR="00F15350" w:rsidRPr="00133C49" w:rsidRDefault="00F15350" w:rsidP="00B62906">
            <w:pPr>
              <w:keepNext/>
              <w:keepLines/>
              <w:rPr>
                <w:rStyle w:val="cf01"/>
                <w:rFonts w:ascii="Arial" w:hAnsi="Arial" w:cs="Arial"/>
              </w:rPr>
            </w:pPr>
            <w:r>
              <w:rPr>
                <w:rStyle w:val="cf01"/>
                <w:rFonts w:ascii="Arial" w:hAnsi="Arial" w:cs="Arial"/>
              </w:rPr>
              <w:t>2b</w:t>
            </w:r>
            <w:r w:rsidR="00A17D32">
              <w:rPr>
                <w:rStyle w:val="cf01"/>
                <w:rFonts w:ascii="Arial" w:hAnsi="Arial" w:cs="Arial"/>
              </w:rPr>
              <w:t xml:space="preserve"> </w:t>
            </w:r>
            <w:r w:rsidR="00A17D32">
              <w:rPr>
                <w:rStyle w:val="cf01"/>
              </w:rPr>
              <w:t>(CN)</w:t>
            </w:r>
          </w:p>
        </w:tc>
        <w:tc>
          <w:tcPr>
            <w:tcW w:w="8505" w:type="dxa"/>
          </w:tcPr>
          <w:p w14:paraId="323F9F8B" w14:textId="3F163F86" w:rsidR="00F15350" w:rsidRPr="00133C49" w:rsidRDefault="00123CD8" w:rsidP="00B62906">
            <w:pPr>
              <w:keepNext/>
              <w:keepLines/>
              <w:rPr>
                <w:rFonts w:ascii="Arial" w:hAnsi="Arial" w:cs="Arial"/>
                <w:sz w:val="18"/>
                <w:szCs w:val="18"/>
              </w:rPr>
            </w:pPr>
            <w:r w:rsidRPr="00123CD8">
              <w:rPr>
                <w:rStyle w:val="cf01"/>
                <w:rFonts w:ascii="Arial" w:hAnsi="Arial" w:cs="Arial"/>
              </w:rPr>
              <w:t>gNB cannot perform model management directly</w:t>
            </w:r>
          </w:p>
        </w:tc>
      </w:tr>
      <w:tr w:rsidR="00F15350" w:rsidRPr="00133C49" w14:paraId="5D87AB22" w14:textId="77777777" w:rsidTr="00FD51A9">
        <w:tc>
          <w:tcPr>
            <w:tcW w:w="1129" w:type="dxa"/>
          </w:tcPr>
          <w:p w14:paraId="6529F173" w14:textId="552CCFE2" w:rsidR="00F15350" w:rsidRPr="00133C49" w:rsidRDefault="00F15350" w:rsidP="00B62906">
            <w:pPr>
              <w:keepNext/>
              <w:keepLines/>
              <w:rPr>
                <w:rStyle w:val="cf01"/>
                <w:rFonts w:ascii="Arial" w:hAnsi="Arial" w:cs="Arial"/>
              </w:rPr>
            </w:pPr>
            <w:r>
              <w:rPr>
                <w:rStyle w:val="cf01"/>
                <w:rFonts w:ascii="Arial" w:hAnsi="Arial" w:cs="Arial"/>
              </w:rPr>
              <w:t>3b</w:t>
            </w:r>
            <w:r w:rsidR="00A17D32">
              <w:rPr>
                <w:rStyle w:val="cf01"/>
                <w:rFonts w:ascii="Arial" w:hAnsi="Arial" w:cs="Arial"/>
              </w:rPr>
              <w:t xml:space="preserve"> </w:t>
            </w:r>
            <w:r w:rsidR="00A17D32">
              <w:rPr>
                <w:rStyle w:val="cf01"/>
              </w:rPr>
              <w:t>(LMF)</w:t>
            </w:r>
          </w:p>
        </w:tc>
        <w:tc>
          <w:tcPr>
            <w:tcW w:w="8505" w:type="dxa"/>
          </w:tcPr>
          <w:p w14:paraId="77E75B34" w14:textId="3EF9FC9E" w:rsidR="00F15350" w:rsidRPr="00133C49" w:rsidRDefault="00C74ADC" w:rsidP="00B62906">
            <w:pPr>
              <w:keepNext/>
              <w:keepLines/>
              <w:rPr>
                <w:rFonts w:ascii="Arial" w:hAnsi="Arial" w:cs="Arial"/>
                <w:sz w:val="18"/>
                <w:szCs w:val="18"/>
              </w:rPr>
            </w:pPr>
            <w:r w:rsidRPr="00C74ADC">
              <w:rPr>
                <w:rStyle w:val="cf01"/>
                <w:rFonts w:ascii="Arial" w:hAnsi="Arial" w:cs="Arial"/>
              </w:rPr>
              <w:t>Management and interaction between UE and gNB is not supported</w:t>
            </w:r>
          </w:p>
        </w:tc>
      </w:tr>
      <w:tr w:rsidR="00E34CD6" w:rsidRPr="00133C49" w14:paraId="4092A8AD" w14:textId="77777777" w:rsidTr="00FD51A9">
        <w:tc>
          <w:tcPr>
            <w:tcW w:w="1129" w:type="dxa"/>
          </w:tcPr>
          <w:p w14:paraId="6BB212B0" w14:textId="4E48C1CE" w:rsidR="00E34CD6" w:rsidRDefault="00E34CD6" w:rsidP="00B62906">
            <w:pPr>
              <w:keepNext/>
              <w:keepLines/>
              <w:rPr>
                <w:rStyle w:val="cf01"/>
                <w:rFonts w:ascii="Arial" w:hAnsi="Arial" w:cs="Arial"/>
              </w:rPr>
            </w:pPr>
            <w:r>
              <w:rPr>
                <w:rStyle w:val="cf01"/>
                <w:rFonts w:ascii="Arial" w:hAnsi="Arial" w:cs="Arial"/>
              </w:rPr>
              <w:t>4a</w:t>
            </w:r>
            <w:r w:rsidR="00A17D32">
              <w:rPr>
                <w:rStyle w:val="cf01"/>
                <w:rFonts w:ascii="Arial" w:hAnsi="Arial" w:cs="Arial"/>
              </w:rPr>
              <w:t xml:space="preserve"> </w:t>
            </w:r>
            <w:r w:rsidR="00A17D32">
              <w:rPr>
                <w:rStyle w:val="cf01"/>
              </w:rPr>
              <w:t>(OTT)</w:t>
            </w:r>
          </w:p>
        </w:tc>
        <w:tc>
          <w:tcPr>
            <w:tcW w:w="8505" w:type="dxa"/>
          </w:tcPr>
          <w:p w14:paraId="2983CE6B" w14:textId="1607A7CA" w:rsidR="00E34CD6" w:rsidRPr="00C74ADC" w:rsidRDefault="00E34CD6" w:rsidP="00B62906">
            <w:pPr>
              <w:keepNext/>
              <w:keepLines/>
              <w:rPr>
                <w:rStyle w:val="cf01"/>
                <w:rFonts w:ascii="Arial" w:hAnsi="Arial" w:cs="Arial"/>
              </w:rPr>
            </w:pPr>
            <w:r w:rsidRPr="00E34CD6">
              <w:rPr>
                <w:rStyle w:val="cf01"/>
                <w:rFonts w:ascii="Arial" w:hAnsi="Arial" w:cs="Arial"/>
              </w:rPr>
              <w:t>Model transfer/delivery is transparent to RAN</w:t>
            </w:r>
          </w:p>
        </w:tc>
      </w:tr>
      <w:tr w:rsidR="00E34CD6" w:rsidRPr="00133C49" w14:paraId="79F2796F" w14:textId="77777777" w:rsidTr="00FD51A9">
        <w:tc>
          <w:tcPr>
            <w:tcW w:w="1129" w:type="dxa"/>
          </w:tcPr>
          <w:p w14:paraId="55844CFA" w14:textId="3220453D" w:rsidR="00E34CD6" w:rsidRDefault="00A17D32" w:rsidP="00B62906">
            <w:pPr>
              <w:keepNext/>
              <w:keepLines/>
              <w:rPr>
                <w:rStyle w:val="cf01"/>
                <w:rFonts w:ascii="Arial" w:hAnsi="Arial" w:cs="Arial"/>
              </w:rPr>
            </w:pPr>
            <w:r>
              <w:rPr>
                <w:rStyle w:val="cf01"/>
                <w:rFonts w:ascii="Arial" w:hAnsi="Arial" w:cs="Arial"/>
              </w:rPr>
              <w:t xml:space="preserve">4b </w:t>
            </w:r>
            <w:r>
              <w:rPr>
                <w:rStyle w:val="cf01"/>
              </w:rPr>
              <w:t>(OAM)</w:t>
            </w:r>
          </w:p>
        </w:tc>
        <w:tc>
          <w:tcPr>
            <w:tcW w:w="8505" w:type="dxa"/>
          </w:tcPr>
          <w:p w14:paraId="4F89F114" w14:textId="34814078" w:rsidR="00E34CD6" w:rsidRPr="00C74ADC" w:rsidRDefault="00A17D32" w:rsidP="00B62906">
            <w:pPr>
              <w:keepNext/>
              <w:keepLines/>
              <w:rPr>
                <w:rStyle w:val="cf01"/>
                <w:rFonts w:ascii="Arial" w:hAnsi="Arial" w:cs="Arial"/>
              </w:rPr>
            </w:pPr>
            <w:r w:rsidRPr="00A17D32">
              <w:rPr>
                <w:rStyle w:val="cf01"/>
                <w:rFonts w:ascii="Arial" w:hAnsi="Arial" w:cs="Arial"/>
              </w:rPr>
              <w:t>gNB cannot perform model management directly</w:t>
            </w:r>
          </w:p>
        </w:tc>
      </w:tr>
    </w:tbl>
    <w:p w14:paraId="09946ECF" w14:textId="77777777" w:rsidR="00332036" w:rsidRDefault="00332036" w:rsidP="00F801D0"/>
    <w:p w14:paraId="61B64F21" w14:textId="76A867AF" w:rsidR="00A17D32" w:rsidRDefault="0011543B" w:rsidP="00F801D0">
      <w:r>
        <w:t xml:space="preserve">The currently relevant use case is CSI compression for a two-sided model. Therefore, we will focus on 1b, 2b, 4a, and 4b, since 3b </w:t>
      </w:r>
      <w:r w:rsidR="005D0194">
        <w:t>considers an LMF-based model transfer, which wouldn’t be a relevant entity for CSI compression.</w:t>
      </w:r>
      <w:r w:rsidR="00A15CC1">
        <w:t xml:space="preserve"> It is clear that from the analysis during the SI, control is an unresolved problem when it comes to model transfer over UP.</w:t>
      </w:r>
    </w:p>
    <w:p w14:paraId="7EE59CF3" w14:textId="754D0C12" w:rsidR="00F801D0" w:rsidRPr="00FD51A9" w:rsidRDefault="00A15CC1" w:rsidP="00F801D0">
      <w:pPr>
        <w:rPr>
          <w:b/>
          <w:bCs/>
        </w:rPr>
      </w:pPr>
      <w:r w:rsidRPr="00FD51A9">
        <w:rPr>
          <w:b/>
          <w:bCs/>
        </w:rPr>
        <w:t xml:space="preserve">Observation </w:t>
      </w:r>
      <w:r w:rsidR="00CD50CC">
        <w:rPr>
          <w:b/>
          <w:bCs/>
        </w:rPr>
        <w:t>6</w:t>
      </w:r>
      <w:r w:rsidRPr="00FD51A9">
        <w:rPr>
          <w:b/>
          <w:bCs/>
        </w:rPr>
        <w:t xml:space="preserve">: </w:t>
      </w:r>
      <w:r w:rsidR="00B93036" w:rsidRPr="00FD51A9">
        <w:rPr>
          <w:b/>
          <w:bCs/>
        </w:rPr>
        <w:t>The user plane model transfer/delivery solutions discussed during the SI do not satisfy network controllability requirements</w:t>
      </w:r>
      <w:r w:rsidR="00F43B2C" w:rsidRPr="00FD51A9">
        <w:rPr>
          <w:b/>
          <w:bCs/>
        </w:rPr>
        <w:t>.</w:t>
      </w:r>
      <w:r w:rsidR="00C463E7" w:rsidRPr="00FD51A9">
        <w:rPr>
          <w:b/>
          <w:bCs/>
        </w:rPr>
        <w:t xml:space="preserve"> </w:t>
      </w:r>
      <w:r w:rsidR="00373CFB" w:rsidRPr="00FD51A9">
        <w:rPr>
          <w:b/>
          <w:bCs/>
        </w:rPr>
        <w:t xml:space="preserve"> </w:t>
      </w:r>
    </w:p>
    <w:p w14:paraId="77F49E0C" w14:textId="6E701781" w:rsidR="00B34B71" w:rsidRPr="00B34B71" w:rsidRDefault="00B34B71" w:rsidP="007E5B4F">
      <w:pPr>
        <w:pStyle w:val="Heading2"/>
      </w:pPr>
      <w:r w:rsidRPr="00B34B71">
        <w:t>2.</w:t>
      </w:r>
      <w:r w:rsidR="00173A92">
        <w:t>3</w:t>
      </w:r>
      <w:r w:rsidRPr="00B34B71">
        <w:tab/>
        <w:t>Hybrid model transfer</w:t>
      </w:r>
    </w:p>
    <w:p w14:paraId="39764615" w14:textId="7EA64B08" w:rsidR="00B34B71" w:rsidRPr="00B34B71" w:rsidRDefault="007D5058" w:rsidP="007D5058">
      <w:pPr>
        <w:pStyle w:val="Heading3"/>
        <w:rPr>
          <w:sz w:val="24"/>
        </w:rPr>
      </w:pPr>
      <w:r>
        <w:t>2</w:t>
      </w:r>
      <w:r w:rsidR="00B34B71">
        <w:t>.</w:t>
      </w:r>
      <w:r w:rsidR="00173A92">
        <w:t>3</w:t>
      </w:r>
      <w:r w:rsidR="00B34B71">
        <w:t>.1</w:t>
      </w:r>
      <w:r>
        <w:tab/>
      </w:r>
      <w:r w:rsidR="00B34B71">
        <w:t>Overview</w:t>
      </w:r>
    </w:p>
    <w:p w14:paraId="4924EB38" w14:textId="6D409320" w:rsidR="00B34B71" w:rsidRPr="00B34B71" w:rsidRDefault="00B34B71" w:rsidP="00B34B71">
      <w:pPr>
        <w:jc w:val="both"/>
      </w:pPr>
      <w:r w:rsidRPr="00B34B71">
        <w:t>While it may be feasible to push CP data volume in the short term</w:t>
      </w:r>
      <w:r w:rsidR="295D9459">
        <w:t xml:space="preserve"> for low complexity models</w:t>
      </w:r>
      <w:r w:rsidRPr="00B34B71">
        <w:t xml:space="preserve">, this route might limit model size in the future, or require further expansion to CP data capacity. The UP has sufficient capacity to transfer/deliver larger models, but the UP does not natively support control signalling. For network-controlled model delivery, these two main options have emerged in solutions developed through discussions in the past meetings: CP-based and UP-based model delivery. For CP-based model delivery, the drawback is the data volume limitation, and its advantage is its native control signalling. For UP-based model delivery, the drawback is its lack of control signalling, and its advantage is that it is capable of a much larger data volume. To support UP-based model transfer/delivery, a control mechanism must be defined, which could be a UP model transfer/delivery supported by CP signalling, </w:t>
      </w:r>
      <w:r w:rsidR="0E54E426">
        <w:t>such as</w:t>
      </w:r>
      <w:r w:rsidRPr="00B34B71">
        <w:t xml:space="preserve"> RRC, NAS, or LPP signalling. The basic operation is shown in Figure 2.4-1.</w:t>
      </w:r>
    </w:p>
    <w:p w14:paraId="286092D8" w14:textId="615934C6" w:rsidR="00B34B71" w:rsidRPr="00B34B71" w:rsidRDefault="00B34B71" w:rsidP="00B34B71">
      <w:pPr>
        <w:jc w:val="both"/>
        <w:rPr>
          <w:b/>
          <w:bCs/>
        </w:rPr>
      </w:pPr>
      <w:r w:rsidRPr="00B34B71">
        <w:rPr>
          <w:b/>
          <w:bCs/>
        </w:rPr>
        <w:t>Observation</w:t>
      </w:r>
      <w:r w:rsidR="00033F7A">
        <w:rPr>
          <w:b/>
          <w:bCs/>
        </w:rPr>
        <w:t xml:space="preserve"> </w:t>
      </w:r>
      <w:r w:rsidR="00CD50CC">
        <w:rPr>
          <w:b/>
          <w:bCs/>
        </w:rPr>
        <w:t>7</w:t>
      </w:r>
      <w:r w:rsidRPr="00B34B71">
        <w:rPr>
          <w:b/>
          <w:bCs/>
        </w:rPr>
        <w:t>: The main drawback of CP-based model delivery is its data volume limitation.</w:t>
      </w:r>
    </w:p>
    <w:p w14:paraId="1BEE3798" w14:textId="364A7D67" w:rsidR="00B34B71" w:rsidRPr="00B34B71" w:rsidRDefault="00B34B71" w:rsidP="00B34B71">
      <w:pPr>
        <w:jc w:val="both"/>
        <w:rPr>
          <w:b/>
          <w:bCs/>
        </w:rPr>
      </w:pPr>
      <w:r w:rsidRPr="00B34B71">
        <w:rPr>
          <w:b/>
          <w:bCs/>
        </w:rPr>
        <w:t>Observation</w:t>
      </w:r>
      <w:r w:rsidR="00033F7A">
        <w:rPr>
          <w:b/>
          <w:bCs/>
        </w:rPr>
        <w:t xml:space="preserve"> </w:t>
      </w:r>
      <w:r w:rsidR="00CD50CC">
        <w:rPr>
          <w:b/>
          <w:bCs/>
        </w:rPr>
        <w:t>8</w:t>
      </w:r>
      <w:r w:rsidRPr="00B34B71">
        <w:rPr>
          <w:b/>
          <w:bCs/>
        </w:rPr>
        <w:t>: The main drawback of UP-based model delivery is its lack of a native control mechanism.</w:t>
      </w:r>
    </w:p>
    <w:p w14:paraId="53BBA681" w14:textId="77777777" w:rsidR="00E97AD5" w:rsidRDefault="00B34B71" w:rsidP="00B34B71">
      <w:pPr>
        <w:keepNext/>
        <w:jc w:val="both"/>
      </w:pPr>
      <w:r w:rsidRPr="00B34B71">
        <w:lastRenderedPageBreak/>
        <w:t>Figure 2.</w:t>
      </w:r>
      <w:r w:rsidR="00044494">
        <w:t>2.1</w:t>
      </w:r>
      <w:r w:rsidRPr="00B34B71">
        <w:t>-1 implements the control through RRC signalling, NAS signalling, or LPP signalling in the case of model transfer/delivery from the gNodeB, core network, or the LMF, respectively. Authentication and PDU session establishment would be handled through existing means, and the data transfer could use existing data transfer protocols.</w:t>
      </w:r>
    </w:p>
    <w:p w14:paraId="1CD794DE" w14:textId="62B99A5A" w:rsidR="00B34B71" w:rsidRPr="00B34B71" w:rsidRDefault="00E97AD5" w:rsidP="00B34B71">
      <w:pPr>
        <w:keepNext/>
        <w:jc w:val="both"/>
      </w:pPr>
      <w:r>
        <w:t xml:space="preserve">For example, the “Model Download Control” could include </w:t>
      </w:r>
      <w:r w:rsidR="0026581B">
        <w:t xml:space="preserve">at least </w:t>
      </w:r>
      <w:r>
        <w:t>a host, e.g., an IP address, a transfer protocol, e.g., FTP</w:t>
      </w:r>
      <w:r w:rsidR="0026581B">
        <w:t>, a filename of the model to download.</w:t>
      </w:r>
    </w:p>
    <w:p w14:paraId="1576C98A" w14:textId="7DC3CC79" w:rsidR="00B34B71" w:rsidRPr="00B34B71" w:rsidRDefault="00E97AD5" w:rsidP="00B34B71">
      <w:pPr>
        <w:keepNext/>
        <w:jc w:val="center"/>
      </w:pPr>
      <w:r w:rsidRPr="00B34B71">
        <w:object w:dxaOrig="5250" w:dyaOrig="1800" w14:anchorId="32AA7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63.25pt;height:90.75pt" o:ole="">
            <v:imagedata r:id="rId13" o:title=""/>
          </v:shape>
          <o:OLEObject Type="Embed" ProgID="Mscgen.Chart" ShapeID="_x0000_i1040" DrawAspect="Content" ObjectID="_1789388093" r:id="rId14"/>
        </w:object>
      </w:r>
    </w:p>
    <w:p w14:paraId="091E7227" w14:textId="52DC5FC0" w:rsidR="00B34B71" w:rsidRPr="00B34B71" w:rsidRDefault="00B34B71" w:rsidP="00B34B71">
      <w:pPr>
        <w:keepNext/>
        <w:keepLines/>
        <w:spacing w:after="0"/>
        <w:jc w:val="center"/>
        <w:rPr>
          <w:rFonts w:ascii="Arial" w:hAnsi="Arial"/>
          <w:b/>
          <w:sz w:val="18"/>
        </w:rPr>
      </w:pPr>
      <w:r w:rsidRPr="00B34B71">
        <w:rPr>
          <w:rFonts w:ascii="Arial" w:hAnsi="Arial"/>
          <w:b/>
          <w:sz w:val="18"/>
        </w:rPr>
        <w:t>Figure 2.</w:t>
      </w:r>
      <w:r w:rsidR="002E0E81">
        <w:rPr>
          <w:rFonts w:ascii="Arial" w:hAnsi="Arial"/>
          <w:b/>
          <w:sz w:val="18"/>
        </w:rPr>
        <w:t>2.1</w:t>
      </w:r>
      <w:r w:rsidRPr="00B34B71">
        <w:rPr>
          <w:rFonts w:ascii="Arial" w:hAnsi="Arial"/>
          <w:b/>
          <w:sz w:val="18"/>
        </w:rPr>
        <w:t>-1: User Plane Model Transfer/Delivery to a UE with control.</w:t>
      </w:r>
    </w:p>
    <w:p w14:paraId="700DEC6D" w14:textId="77777777" w:rsidR="00B34B71" w:rsidRPr="00B34B71" w:rsidRDefault="00B34B71" w:rsidP="00B34B71">
      <w:pPr>
        <w:keepNext/>
        <w:keepLines/>
        <w:spacing w:after="0"/>
        <w:jc w:val="center"/>
        <w:rPr>
          <w:rFonts w:ascii="Arial" w:hAnsi="Arial"/>
          <w:b/>
          <w:sz w:val="18"/>
        </w:rPr>
      </w:pPr>
    </w:p>
    <w:p w14:paraId="6133FC85" w14:textId="477B05DF" w:rsidR="00B34B71" w:rsidRPr="00B34B71" w:rsidRDefault="00B34B71" w:rsidP="00B34B71">
      <w:pPr>
        <w:rPr>
          <w:b/>
          <w:bCs/>
        </w:rPr>
      </w:pPr>
      <w:r w:rsidRPr="00B34B71">
        <w:rPr>
          <w:b/>
          <w:bCs/>
        </w:rPr>
        <w:t>Observation</w:t>
      </w:r>
      <w:r w:rsidR="006F0C4E">
        <w:rPr>
          <w:b/>
          <w:bCs/>
        </w:rPr>
        <w:t xml:space="preserve"> </w:t>
      </w:r>
      <w:r w:rsidR="00CD50CC">
        <w:rPr>
          <w:b/>
          <w:bCs/>
        </w:rPr>
        <w:t>9</w:t>
      </w:r>
      <w:r w:rsidRPr="00B34B71">
        <w:rPr>
          <w:b/>
          <w:bCs/>
        </w:rPr>
        <w:t>: A CP-controlled UP-based ML model transfer/delivery would use the existing authentication and PDU session establishment procedures, and preexisting data transfer protocols could facilitate the transfer.</w:t>
      </w:r>
    </w:p>
    <w:p w14:paraId="226B5BF3" w14:textId="559D14F3" w:rsidR="00B34B71" w:rsidRDefault="00B34B71" w:rsidP="007D5058">
      <w:pPr>
        <w:pStyle w:val="Heading3"/>
      </w:pPr>
      <w:r w:rsidRPr="00B34B71">
        <w:t>2.</w:t>
      </w:r>
      <w:r w:rsidR="00173A92">
        <w:t>3</w:t>
      </w:r>
      <w:r>
        <w:t>.</w:t>
      </w:r>
      <w:r w:rsidRPr="00B34B71">
        <w:t>2</w:t>
      </w:r>
      <w:r w:rsidRPr="00B34B71">
        <w:tab/>
        <w:t xml:space="preserve">Specification impact </w:t>
      </w:r>
    </w:p>
    <w:p w14:paraId="340A0E56" w14:textId="15AA28A1" w:rsidR="00FD51A9" w:rsidRPr="00FD51A9" w:rsidRDefault="00D56821" w:rsidP="00FD51A9">
      <w:r>
        <w:t>Based on the discussion in this section, w</w:t>
      </w:r>
      <w:r w:rsidR="00FD51A9">
        <w:t>e propose the following table to capture the specification of a hybrid model transfer/delivery solution.</w:t>
      </w:r>
      <w:r w:rsidR="0040349E">
        <w:t xml:space="preserve"> We would also like to note that given the different model transfer/delivery options that support the transfer of model parameters, datasets, reference models, or models, criteria A1 could be </w:t>
      </w:r>
      <w:r w:rsidR="00F12492">
        <w:t xml:space="preserve">updated to reflect </w:t>
      </w:r>
      <w:r w:rsidR="00083E1A">
        <w:t>“model</w:t>
      </w:r>
      <w:r w:rsidR="00F12492">
        <w:t>-related size” to cover each of these options.</w:t>
      </w:r>
    </w:p>
    <w:tbl>
      <w:tblPr>
        <w:tblStyle w:val="TableGrid1"/>
        <w:tblW w:w="0" w:type="auto"/>
        <w:tblLook w:val="04A0" w:firstRow="1" w:lastRow="0" w:firstColumn="1" w:lastColumn="0" w:noHBand="0" w:noVBand="1"/>
      </w:tblPr>
      <w:tblGrid>
        <w:gridCol w:w="2394"/>
        <w:gridCol w:w="7237"/>
      </w:tblGrid>
      <w:tr w:rsidR="00B34B71" w:rsidRPr="00B34B71" w14:paraId="6FFDB577" w14:textId="77777777" w:rsidTr="00CE16BF">
        <w:tc>
          <w:tcPr>
            <w:tcW w:w="2394" w:type="dxa"/>
          </w:tcPr>
          <w:p w14:paraId="0BB346C2" w14:textId="77777777" w:rsidR="00B34B71" w:rsidRPr="00B34B71" w:rsidRDefault="00B34B71" w:rsidP="00B34B71">
            <w:r w:rsidRPr="00B34B71">
              <w:t>Supporting criteria</w:t>
            </w:r>
          </w:p>
        </w:tc>
        <w:tc>
          <w:tcPr>
            <w:tcW w:w="7237" w:type="dxa"/>
          </w:tcPr>
          <w:p w14:paraId="77AE2CE8" w14:textId="77777777" w:rsidR="00B34B71" w:rsidRPr="00B34B71" w:rsidRDefault="00B34B71" w:rsidP="00B34B71">
            <w:r w:rsidRPr="00B34B71">
              <w:t>Impact on specification</w:t>
            </w:r>
          </w:p>
        </w:tc>
      </w:tr>
      <w:tr w:rsidR="00B34B71" w:rsidRPr="00B34B71" w14:paraId="55E7B029" w14:textId="77777777" w:rsidTr="00CE16BF">
        <w:tc>
          <w:tcPr>
            <w:tcW w:w="2394" w:type="dxa"/>
          </w:tcPr>
          <w:p w14:paraId="732799BA" w14:textId="542B18BA" w:rsidR="00B34B71" w:rsidRPr="00B34B71" w:rsidRDefault="00B34B71" w:rsidP="00B34B71">
            <w:r w:rsidRPr="00B34B71">
              <w:t>A1. Large, no upper limit model</w:t>
            </w:r>
            <w:r w:rsidR="00F12492">
              <w:rPr>
                <w:color w:val="FF0000"/>
              </w:rPr>
              <w:t>-related</w:t>
            </w:r>
            <w:r w:rsidRPr="00B34B71">
              <w:t xml:space="preserve"> size</w:t>
            </w:r>
          </w:p>
        </w:tc>
        <w:tc>
          <w:tcPr>
            <w:tcW w:w="7237" w:type="dxa"/>
          </w:tcPr>
          <w:p w14:paraId="51416C61" w14:textId="77777777" w:rsidR="00B34B71" w:rsidRPr="00B34B71" w:rsidRDefault="00B34B71" w:rsidP="00B34B71">
            <w:r w:rsidRPr="00B34B71">
              <w:t>No impact. UP supports large size models.</w:t>
            </w:r>
          </w:p>
        </w:tc>
      </w:tr>
      <w:tr w:rsidR="00B34B71" w:rsidRPr="00B34B71" w14:paraId="756E6538" w14:textId="77777777" w:rsidTr="00CE16BF">
        <w:tc>
          <w:tcPr>
            <w:tcW w:w="2394" w:type="dxa"/>
          </w:tcPr>
          <w:p w14:paraId="345DF674" w14:textId="06399F6C" w:rsidR="00B34B71" w:rsidRPr="00B34B71" w:rsidRDefault="00B34B71" w:rsidP="00B34B71">
            <w:r w:rsidRPr="00B34B71">
              <w:t>A</w:t>
            </w:r>
            <w:r w:rsidR="00A039FA">
              <w:t>2</w:t>
            </w:r>
            <w:r w:rsidRPr="00B34B71">
              <w:t>. Model transfer/delivery continuity</w:t>
            </w:r>
          </w:p>
        </w:tc>
        <w:tc>
          <w:tcPr>
            <w:tcW w:w="7237" w:type="dxa"/>
          </w:tcPr>
          <w:p w14:paraId="13C486A7" w14:textId="77777777" w:rsidR="00B34B71" w:rsidRPr="00B34B71" w:rsidRDefault="00B34B71" w:rsidP="00B34B71">
            <w:r w:rsidRPr="00B34B71">
              <w:t>No impact. Continuity supported in the UP.</w:t>
            </w:r>
          </w:p>
        </w:tc>
      </w:tr>
      <w:tr w:rsidR="00B34B71" w:rsidRPr="00B34B71" w14:paraId="7493D448" w14:textId="77777777" w:rsidTr="00CE16BF">
        <w:tc>
          <w:tcPr>
            <w:tcW w:w="2394" w:type="dxa"/>
          </w:tcPr>
          <w:p w14:paraId="272E0A29" w14:textId="6BA5B059" w:rsidR="00B34B71" w:rsidRPr="00B34B71" w:rsidRDefault="00B34B71" w:rsidP="00B34B71">
            <w:r w:rsidRPr="00B34B71">
              <w:t>A</w:t>
            </w:r>
            <w:r w:rsidR="00A039FA">
              <w:t>3</w:t>
            </w:r>
            <w:r w:rsidRPr="00B34B71">
              <w:t>. NW controllability</w:t>
            </w:r>
          </w:p>
        </w:tc>
        <w:tc>
          <w:tcPr>
            <w:tcW w:w="7237" w:type="dxa"/>
          </w:tcPr>
          <w:p w14:paraId="2C488144" w14:textId="77777777" w:rsidR="00B34B71" w:rsidRPr="00B34B71" w:rsidRDefault="00B34B71" w:rsidP="00B34B71">
            <w:r w:rsidRPr="00B34B71">
              <w:t>RAN2 impact. The NW needs to command the UE to start a model transfer.</w:t>
            </w:r>
          </w:p>
        </w:tc>
      </w:tr>
      <w:tr w:rsidR="00B34B71" w:rsidRPr="00B34B71" w14:paraId="35ECB513" w14:textId="77777777" w:rsidTr="00CE16BF">
        <w:tc>
          <w:tcPr>
            <w:tcW w:w="2394" w:type="dxa"/>
          </w:tcPr>
          <w:p w14:paraId="6643D267" w14:textId="4E6B366D" w:rsidR="00B34B71" w:rsidRPr="00B34B71" w:rsidRDefault="00B34B71" w:rsidP="00B34B71">
            <w:r w:rsidRPr="00B34B71">
              <w:t>A</w:t>
            </w:r>
            <w:r w:rsidR="00A039FA">
              <w:t>4</w:t>
            </w:r>
            <w:r w:rsidRPr="00B34B71">
              <w:t>. Flexible model transfer/delivery QoS</w:t>
            </w:r>
          </w:p>
        </w:tc>
        <w:tc>
          <w:tcPr>
            <w:tcW w:w="7237" w:type="dxa"/>
          </w:tcPr>
          <w:p w14:paraId="52EBAA2F" w14:textId="77777777" w:rsidR="00B34B71" w:rsidRPr="00B34B71" w:rsidRDefault="00B34B71" w:rsidP="00B34B71">
            <w:r w:rsidRPr="00B34B71">
              <w:t>No impact. Existing QoS mechanisms can be used.</w:t>
            </w:r>
          </w:p>
        </w:tc>
      </w:tr>
    </w:tbl>
    <w:p w14:paraId="54EB783C" w14:textId="77777777" w:rsidR="00B34B71" w:rsidRDefault="00B34B71" w:rsidP="00B34B71"/>
    <w:p w14:paraId="65101C82" w14:textId="5B19E321" w:rsidR="00F12492" w:rsidRDefault="00F12492" w:rsidP="00B34B71">
      <w:pPr>
        <w:rPr>
          <w:b/>
          <w:bCs/>
        </w:rPr>
      </w:pPr>
      <w:r>
        <w:rPr>
          <w:b/>
          <w:bCs/>
        </w:rPr>
        <w:t xml:space="preserve">Observation 10: </w:t>
      </w:r>
      <w:r w:rsidR="00083E1A">
        <w:rPr>
          <w:b/>
          <w:bCs/>
        </w:rPr>
        <w:t>G</w:t>
      </w:r>
      <w:r w:rsidR="00083E1A" w:rsidRPr="00083E1A">
        <w:rPr>
          <w:b/>
          <w:bCs/>
        </w:rPr>
        <w:t>iven the different model transfer/delivery options that support the transfer of model parameters, datasets, reference models, or models, criteria A1 could be updated to reflect “model-related size” to cover each of these options</w:t>
      </w:r>
    </w:p>
    <w:p w14:paraId="16FD01B0" w14:textId="489EE7D5" w:rsidR="00083E1A" w:rsidRPr="00083E1A" w:rsidRDefault="00083E1A" w:rsidP="00B34B71">
      <w:pPr>
        <w:rPr>
          <w:b/>
          <w:bCs/>
        </w:rPr>
      </w:pPr>
      <w:r>
        <w:rPr>
          <w:b/>
          <w:bCs/>
        </w:rPr>
        <w:t>Proposal 2: Update criteria A1 to reflect model-related size instead of model size to support all options for model transfer/delivery, including</w:t>
      </w:r>
      <w:r w:rsidR="00B1239D">
        <w:rPr>
          <w:b/>
          <w:bCs/>
        </w:rPr>
        <w:t>, e.g.</w:t>
      </w:r>
      <w:r>
        <w:rPr>
          <w:b/>
          <w:bCs/>
        </w:rPr>
        <w:t>: model parameters, datasets, reference models, and models.</w:t>
      </w:r>
    </w:p>
    <w:p w14:paraId="687089EF" w14:textId="72D779FC" w:rsidR="00B34B71" w:rsidRPr="00B34B71" w:rsidRDefault="00B34B71" w:rsidP="00B34B71">
      <w:pPr>
        <w:rPr>
          <w:b/>
        </w:rPr>
      </w:pPr>
      <w:r w:rsidRPr="00B34B71">
        <w:rPr>
          <w:b/>
        </w:rPr>
        <w:t>Observation</w:t>
      </w:r>
      <w:r w:rsidR="00C02751">
        <w:rPr>
          <w:b/>
        </w:rPr>
        <w:t xml:space="preserve"> </w:t>
      </w:r>
      <w:r w:rsidR="00CD50CC">
        <w:rPr>
          <w:b/>
        </w:rPr>
        <w:t>1</w:t>
      </w:r>
      <w:r w:rsidR="00F12492">
        <w:rPr>
          <w:b/>
        </w:rPr>
        <w:t>1</w:t>
      </w:r>
      <w:r w:rsidRPr="00B34B71">
        <w:rPr>
          <w:b/>
        </w:rPr>
        <w:t>: The impact of using the control plane to control a model transfer requires the addition of new RRC messages to control the data transfer.</w:t>
      </w:r>
    </w:p>
    <w:p w14:paraId="4068847E" w14:textId="0B98E29E" w:rsidR="00B34B71" w:rsidRPr="00B34B71" w:rsidRDefault="00B34B71" w:rsidP="00B34B71">
      <w:pPr>
        <w:rPr>
          <w:b/>
        </w:rPr>
      </w:pPr>
      <w:r w:rsidRPr="00B34B71">
        <w:rPr>
          <w:b/>
        </w:rPr>
        <w:t>Observation</w:t>
      </w:r>
      <w:r w:rsidR="00DD5758">
        <w:rPr>
          <w:b/>
        </w:rPr>
        <w:t xml:space="preserve"> </w:t>
      </w:r>
      <w:r w:rsidR="00CD50CC">
        <w:rPr>
          <w:b/>
        </w:rPr>
        <w:t>1</w:t>
      </w:r>
      <w:r w:rsidR="00F12492">
        <w:rPr>
          <w:b/>
        </w:rPr>
        <w:t>2</w:t>
      </w:r>
      <w:r w:rsidRPr="00B34B71">
        <w:rPr>
          <w:b/>
        </w:rPr>
        <w:t xml:space="preserve">: The impact of using the user plane to carry a model transfer requires that the UE supports </w:t>
      </w:r>
      <w:r w:rsidR="4F78D2C1" w:rsidRPr="20ACECEC">
        <w:rPr>
          <w:b/>
          <w:bCs/>
        </w:rPr>
        <w:t xml:space="preserve">a </w:t>
      </w:r>
      <w:r w:rsidRPr="00B34B71">
        <w:rPr>
          <w:b/>
        </w:rPr>
        <w:t>file transfer protocol available at the UE and the server containing the models.</w:t>
      </w:r>
    </w:p>
    <w:p w14:paraId="04AFBA7B" w14:textId="337786E2" w:rsidR="00B34B71" w:rsidRPr="00B34B71" w:rsidRDefault="00B34B71" w:rsidP="00B34B71">
      <w:pPr>
        <w:rPr>
          <w:b/>
        </w:rPr>
      </w:pPr>
      <w:r w:rsidRPr="00B34B71">
        <w:rPr>
          <w:b/>
        </w:rPr>
        <w:t>Observation</w:t>
      </w:r>
      <w:r w:rsidR="00E857DF">
        <w:rPr>
          <w:b/>
        </w:rPr>
        <w:t xml:space="preserve"> </w:t>
      </w:r>
      <w:r w:rsidR="00F43B2C">
        <w:rPr>
          <w:b/>
        </w:rPr>
        <w:t>1</w:t>
      </w:r>
      <w:r w:rsidR="00F12492">
        <w:rPr>
          <w:b/>
        </w:rPr>
        <w:t>3</w:t>
      </w:r>
      <w:r w:rsidRPr="00B34B71">
        <w:rPr>
          <w:b/>
        </w:rPr>
        <w:t>: A hybrid control plane and user plane solution ha</w:t>
      </w:r>
      <w:r w:rsidR="00A779AF">
        <w:rPr>
          <w:b/>
        </w:rPr>
        <w:t xml:space="preserve">ve </w:t>
      </w:r>
      <w:r w:rsidRPr="00B34B71">
        <w:rPr>
          <w:b/>
        </w:rPr>
        <w:t>minimal specification impact.</w:t>
      </w:r>
    </w:p>
    <w:p w14:paraId="6491B8F4" w14:textId="77208715" w:rsidR="00B34B71" w:rsidRPr="00B34B71" w:rsidRDefault="00B34B71" w:rsidP="00B34B71">
      <w:pPr>
        <w:rPr>
          <w:b/>
        </w:rPr>
      </w:pPr>
      <w:r w:rsidRPr="00B34B71">
        <w:rPr>
          <w:b/>
        </w:rPr>
        <w:t>Proposal</w:t>
      </w:r>
      <w:r w:rsidR="000A3CFE">
        <w:rPr>
          <w:b/>
        </w:rPr>
        <w:t xml:space="preserve"> </w:t>
      </w:r>
      <w:r w:rsidR="00102469">
        <w:rPr>
          <w:b/>
        </w:rPr>
        <w:t>3</w:t>
      </w:r>
      <w:r w:rsidRPr="00B34B71">
        <w:rPr>
          <w:b/>
        </w:rPr>
        <w:t>: Add</w:t>
      </w:r>
      <w:r w:rsidR="00AD03E7">
        <w:rPr>
          <w:b/>
        </w:rPr>
        <w:t xml:space="preserve"> the</w:t>
      </w:r>
      <w:r w:rsidRPr="00B34B71">
        <w:rPr>
          <w:b/>
        </w:rPr>
        <w:t xml:space="preserve"> hybrid control plane and user plane</w:t>
      </w:r>
      <w:r w:rsidR="00AD03E7">
        <w:rPr>
          <w:b/>
        </w:rPr>
        <w:t xml:space="preserve"> solution</w:t>
      </w:r>
      <w:r w:rsidRPr="00B34B71">
        <w:rPr>
          <w:b/>
        </w:rPr>
        <w:t xml:space="preserve"> to the model transfer comparison table.</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Default="009339CB" w:rsidP="009339CB">
      <w:r>
        <w:t>This document has made the following observations:</w:t>
      </w:r>
    </w:p>
    <w:p w14:paraId="52B93AE9" w14:textId="77777777" w:rsidR="00102469" w:rsidRDefault="00102469" w:rsidP="00102469">
      <w:pPr>
        <w:rPr>
          <w:b/>
          <w:bCs/>
        </w:rPr>
      </w:pPr>
      <w:r w:rsidRPr="00FD51A9">
        <w:rPr>
          <w:b/>
          <w:bCs/>
        </w:rPr>
        <w:t>Observation 1: Control plane model transfer/delivery solutions are limited by maximum message sizes, even when enabling segmentation on their respective protocols.</w:t>
      </w:r>
    </w:p>
    <w:p w14:paraId="2F078852" w14:textId="77777777" w:rsidR="00102469" w:rsidRPr="00FD51A9" w:rsidRDefault="00102469" w:rsidP="00102469">
      <w:pPr>
        <w:rPr>
          <w:b/>
          <w:bCs/>
        </w:rPr>
      </w:pPr>
      <w:r w:rsidRPr="00FD51A9">
        <w:rPr>
          <w:b/>
          <w:bCs/>
        </w:rPr>
        <w:t>Observation 2: Control plane model transfer/delivery solutions enable NW control.</w:t>
      </w:r>
    </w:p>
    <w:p w14:paraId="610A86A0" w14:textId="77777777" w:rsidR="00102469" w:rsidRPr="00B34B71" w:rsidRDefault="00102469" w:rsidP="00102469">
      <w:r w:rsidRPr="00B34B71">
        <w:rPr>
          <w:b/>
          <w:bCs/>
        </w:rPr>
        <w:t>Observation</w:t>
      </w:r>
      <w:r>
        <w:rPr>
          <w:b/>
          <w:bCs/>
        </w:rPr>
        <w:t xml:space="preserve"> 3</w:t>
      </w:r>
      <w:r w:rsidRPr="00B34B71">
        <w:rPr>
          <w:b/>
          <w:bCs/>
        </w:rPr>
        <w:t>: A new low-priority SRB will not overcome the issue that a segmented RRC message must be completely transmitted prior to transmitting a new RRC message.</w:t>
      </w:r>
    </w:p>
    <w:p w14:paraId="1DF4DBC5" w14:textId="77777777" w:rsidR="00102469" w:rsidRPr="00B34B71" w:rsidRDefault="00102469" w:rsidP="00102469">
      <w:pPr>
        <w:rPr>
          <w:b/>
          <w:bCs/>
        </w:rPr>
      </w:pPr>
      <w:r w:rsidRPr="00B34B71">
        <w:rPr>
          <w:b/>
          <w:bCs/>
        </w:rPr>
        <w:t>Observation</w:t>
      </w:r>
      <w:r>
        <w:rPr>
          <w:b/>
          <w:bCs/>
        </w:rPr>
        <w:t xml:space="preserve"> 4</w:t>
      </w:r>
      <w:r w:rsidRPr="00B34B71">
        <w:rPr>
          <w:b/>
          <w:bCs/>
        </w:rPr>
        <w:t>: Under relatively good channel conditions and while connected to a cell with a high bandwidth, a small data transfer, e.g., a 1MB model transfer, could take nearly 100ms, and larger data transfers, e.g., 10-100MB model transfers, could take nearly 10 seconds.</w:t>
      </w:r>
    </w:p>
    <w:p w14:paraId="559FC80B" w14:textId="77777777" w:rsidR="00102469" w:rsidRPr="00B34B71" w:rsidRDefault="00102469" w:rsidP="00102469">
      <w:pPr>
        <w:rPr>
          <w:b/>
          <w:bCs/>
        </w:rPr>
      </w:pPr>
      <w:r w:rsidRPr="00B34B71">
        <w:rPr>
          <w:b/>
          <w:bCs/>
        </w:rPr>
        <w:t>Observation</w:t>
      </w:r>
      <w:r>
        <w:rPr>
          <w:b/>
          <w:bCs/>
        </w:rPr>
        <w:t xml:space="preserve"> 5</w:t>
      </w:r>
      <w:r w:rsidRPr="00B34B71">
        <w:rPr>
          <w:b/>
          <w:bCs/>
        </w:rPr>
        <w:t>: Under relatively good channel conditions and while connected to a cell with a medium bandwidth, a small data transfer, e.g., a 1MB model transfer, could take more than 300ms, and larger data transfers, e.g., 10-100MB model transfers, could take more than to 33s.</w:t>
      </w:r>
    </w:p>
    <w:p w14:paraId="087B1A84" w14:textId="77777777" w:rsidR="00102469" w:rsidRPr="00FD51A9" w:rsidRDefault="00102469" w:rsidP="00102469">
      <w:pPr>
        <w:rPr>
          <w:b/>
          <w:bCs/>
        </w:rPr>
      </w:pPr>
      <w:r w:rsidRPr="00FD51A9">
        <w:rPr>
          <w:b/>
          <w:bCs/>
        </w:rPr>
        <w:t xml:space="preserve">Observation </w:t>
      </w:r>
      <w:r>
        <w:rPr>
          <w:b/>
          <w:bCs/>
        </w:rPr>
        <w:t>6</w:t>
      </w:r>
      <w:r w:rsidRPr="00FD51A9">
        <w:rPr>
          <w:b/>
          <w:bCs/>
        </w:rPr>
        <w:t xml:space="preserve">: The user plane model transfer/delivery solutions discussed during the SI do not satisfy network controllability requirements.  </w:t>
      </w:r>
    </w:p>
    <w:p w14:paraId="58BADF72" w14:textId="77777777" w:rsidR="00102469" w:rsidRPr="00B34B71" w:rsidRDefault="00102469" w:rsidP="00102469">
      <w:pPr>
        <w:jc w:val="both"/>
        <w:rPr>
          <w:b/>
          <w:bCs/>
        </w:rPr>
      </w:pPr>
      <w:r w:rsidRPr="00B34B71">
        <w:rPr>
          <w:b/>
          <w:bCs/>
        </w:rPr>
        <w:t>Observation</w:t>
      </w:r>
      <w:r>
        <w:rPr>
          <w:b/>
          <w:bCs/>
        </w:rPr>
        <w:t xml:space="preserve"> 7</w:t>
      </w:r>
      <w:r w:rsidRPr="00B34B71">
        <w:rPr>
          <w:b/>
          <w:bCs/>
        </w:rPr>
        <w:t>: The main drawback of CP-based model delivery is its data volume limitation.</w:t>
      </w:r>
    </w:p>
    <w:p w14:paraId="141B0DAE" w14:textId="77777777" w:rsidR="00102469" w:rsidRPr="00B34B71" w:rsidRDefault="00102469" w:rsidP="00102469">
      <w:pPr>
        <w:jc w:val="both"/>
        <w:rPr>
          <w:b/>
          <w:bCs/>
        </w:rPr>
      </w:pPr>
      <w:r w:rsidRPr="00B34B71">
        <w:rPr>
          <w:b/>
          <w:bCs/>
        </w:rPr>
        <w:t>Observation</w:t>
      </w:r>
      <w:r>
        <w:rPr>
          <w:b/>
          <w:bCs/>
        </w:rPr>
        <w:t xml:space="preserve"> 8</w:t>
      </w:r>
      <w:r w:rsidRPr="00B34B71">
        <w:rPr>
          <w:b/>
          <w:bCs/>
        </w:rPr>
        <w:t>: The main drawback of UP-based model delivery is its lack of a native control mechanism.</w:t>
      </w:r>
    </w:p>
    <w:p w14:paraId="5DDE08D4" w14:textId="77777777" w:rsidR="00102469" w:rsidRPr="00B34B71" w:rsidRDefault="00102469" w:rsidP="00102469">
      <w:pPr>
        <w:rPr>
          <w:b/>
          <w:bCs/>
        </w:rPr>
      </w:pPr>
      <w:r w:rsidRPr="00B34B71">
        <w:rPr>
          <w:b/>
          <w:bCs/>
        </w:rPr>
        <w:t>Observation</w:t>
      </w:r>
      <w:r>
        <w:rPr>
          <w:b/>
          <w:bCs/>
        </w:rPr>
        <w:t xml:space="preserve"> 9</w:t>
      </w:r>
      <w:r w:rsidRPr="00B34B71">
        <w:rPr>
          <w:b/>
          <w:bCs/>
        </w:rPr>
        <w:t>: A CP-controlled UP-based ML model transfer/delivery would use the existing authentication and PDU session establishment procedures, and preexisting data transfer protocols could facilitate the transfer.</w:t>
      </w:r>
    </w:p>
    <w:p w14:paraId="0433C438" w14:textId="77777777" w:rsidR="00102469" w:rsidRDefault="00102469" w:rsidP="00102469">
      <w:pPr>
        <w:rPr>
          <w:b/>
          <w:bCs/>
        </w:rPr>
      </w:pPr>
      <w:r>
        <w:rPr>
          <w:b/>
          <w:bCs/>
        </w:rPr>
        <w:t>Observation 10: G</w:t>
      </w:r>
      <w:r w:rsidRPr="00083E1A">
        <w:rPr>
          <w:b/>
          <w:bCs/>
        </w:rPr>
        <w:t>iven the different model transfer/delivery options that support the transfer of model parameters, datasets, reference models, or models, criteria A1 could be updated to reflect “model-related size” to cover each of these options</w:t>
      </w:r>
    </w:p>
    <w:p w14:paraId="542E950F" w14:textId="77777777" w:rsidR="00102469" w:rsidRPr="00B34B71" w:rsidRDefault="00102469" w:rsidP="00102469">
      <w:pPr>
        <w:rPr>
          <w:b/>
        </w:rPr>
      </w:pPr>
      <w:r w:rsidRPr="00B34B71">
        <w:rPr>
          <w:b/>
        </w:rPr>
        <w:t>Observation</w:t>
      </w:r>
      <w:r>
        <w:rPr>
          <w:b/>
        </w:rPr>
        <w:t xml:space="preserve"> 11</w:t>
      </w:r>
      <w:r w:rsidRPr="00B34B71">
        <w:rPr>
          <w:b/>
        </w:rPr>
        <w:t>: The impact of using the control plane to control a model transfer requires the addition of new RRC messages to control the data transfer.</w:t>
      </w:r>
    </w:p>
    <w:p w14:paraId="1A194BE6" w14:textId="77777777" w:rsidR="00102469" w:rsidRPr="00B34B71" w:rsidRDefault="00102469" w:rsidP="00102469">
      <w:pPr>
        <w:rPr>
          <w:b/>
        </w:rPr>
      </w:pPr>
      <w:r w:rsidRPr="00B34B71">
        <w:rPr>
          <w:b/>
        </w:rPr>
        <w:t>Observation</w:t>
      </w:r>
      <w:r>
        <w:rPr>
          <w:b/>
        </w:rPr>
        <w:t xml:space="preserve"> 12</w:t>
      </w:r>
      <w:r w:rsidRPr="00B34B71">
        <w:rPr>
          <w:b/>
        </w:rPr>
        <w:t xml:space="preserve">: The impact of using the user plane to carry a model transfer requires that the UE supports </w:t>
      </w:r>
      <w:r w:rsidRPr="20ACECEC">
        <w:rPr>
          <w:b/>
          <w:bCs/>
        </w:rPr>
        <w:t xml:space="preserve">a </w:t>
      </w:r>
      <w:r w:rsidRPr="00B34B71">
        <w:rPr>
          <w:b/>
        </w:rPr>
        <w:t>file transfer protocol available at the UE and the server containing the models.</w:t>
      </w:r>
    </w:p>
    <w:p w14:paraId="57817C29" w14:textId="77777777" w:rsidR="00102469" w:rsidRPr="00B34B71" w:rsidRDefault="00102469" w:rsidP="00102469">
      <w:pPr>
        <w:rPr>
          <w:b/>
        </w:rPr>
      </w:pPr>
      <w:r w:rsidRPr="00B34B71">
        <w:rPr>
          <w:b/>
        </w:rPr>
        <w:t>Observation</w:t>
      </w:r>
      <w:r>
        <w:rPr>
          <w:b/>
        </w:rPr>
        <w:t xml:space="preserve"> 13</w:t>
      </w:r>
      <w:r w:rsidRPr="00B34B71">
        <w:rPr>
          <w:b/>
        </w:rPr>
        <w:t>: A hybrid control plane and user plane solution ha</w:t>
      </w:r>
      <w:r>
        <w:rPr>
          <w:b/>
        </w:rPr>
        <w:t xml:space="preserve">ve </w:t>
      </w:r>
      <w:r w:rsidRPr="00B34B71">
        <w:rPr>
          <w:b/>
        </w:rPr>
        <w:t>minimal specification impact.</w:t>
      </w:r>
    </w:p>
    <w:p w14:paraId="12116B08" w14:textId="6352B778" w:rsidR="00102469" w:rsidRDefault="00102469" w:rsidP="009339CB">
      <w:r>
        <w:t>And the following proposals:</w:t>
      </w:r>
    </w:p>
    <w:p w14:paraId="244DDD48" w14:textId="77777777" w:rsidR="00102469" w:rsidRDefault="00102469" w:rsidP="00102469">
      <w:pPr>
        <w:rPr>
          <w:b/>
          <w:bCs/>
        </w:rPr>
      </w:pPr>
      <w:r w:rsidRPr="00B34B71">
        <w:rPr>
          <w:b/>
          <w:bCs/>
        </w:rPr>
        <w:t>Proposal</w:t>
      </w:r>
      <w:r>
        <w:rPr>
          <w:b/>
          <w:bCs/>
        </w:rPr>
        <w:t xml:space="preserve"> 1</w:t>
      </w:r>
      <w:r w:rsidRPr="00B34B71">
        <w:rPr>
          <w:b/>
          <w:bCs/>
        </w:rPr>
        <w:t>: Do not increase the number of RRC segments to support control plane model transfer, e.g., to support control plane model transfer/delivery in cases 1a and 2a.</w:t>
      </w:r>
    </w:p>
    <w:p w14:paraId="6C8B41A9" w14:textId="77777777" w:rsidR="00102469" w:rsidRPr="00083E1A" w:rsidRDefault="00102469" w:rsidP="00102469">
      <w:pPr>
        <w:rPr>
          <w:b/>
          <w:bCs/>
        </w:rPr>
      </w:pPr>
      <w:r>
        <w:rPr>
          <w:b/>
          <w:bCs/>
        </w:rPr>
        <w:t>Proposal 2: Update criteria A1 to reflect model-related size instead of model size to support all options for model transfer/delivery, including, e.g.: model parameters, datasets, reference models, and models.</w:t>
      </w:r>
    </w:p>
    <w:p w14:paraId="394A1F66" w14:textId="661EDC1C" w:rsidR="005E0DFD" w:rsidRPr="00102469" w:rsidRDefault="00102469" w:rsidP="009339CB">
      <w:pPr>
        <w:rPr>
          <w:b/>
        </w:rPr>
      </w:pPr>
      <w:r w:rsidRPr="00B34B71">
        <w:rPr>
          <w:b/>
        </w:rPr>
        <w:t>Proposal</w:t>
      </w:r>
      <w:r>
        <w:rPr>
          <w:b/>
        </w:rPr>
        <w:t xml:space="preserve"> 3</w:t>
      </w:r>
      <w:r w:rsidRPr="00B34B71">
        <w:rPr>
          <w:b/>
        </w:rPr>
        <w:t>: Add</w:t>
      </w:r>
      <w:r>
        <w:rPr>
          <w:b/>
        </w:rPr>
        <w:t xml:space="preserve"> the</w:t>
      </w:r>
      <w:r w:rsidRPr="00B34B71">
        <w:rPr>
          <w:b/>
        </w:rPr>
        <w:t xml:space="preserve"> hybrid control plane and user plane</w:t>
      </w:r>
      <w:r>
        <w:rPr>
          <w:b/>
        </w:rPr>
        <w:t xml:space="preserve"> solution</w:t>
      </w:r>
      <w:r w:rsidRPr="00B34B71">
        <w:rPr>
          <w:b/>
        </w:rPr>
        <w:t xml:space="preserve"> to the model transfer comparison table.</w:t>
      </w:r>
    </w:p>
    <w:p w14:paraId="2B3EDFBC" w14:textId="59427EAA" w:rsidR="00DA067C" w:rsidRDefault="00BF6A19" w:rsidP="00BF6A19">
      <w:pPr>
        <w:pStyle w:val="Heading1"/>
      </w:pPr>
      <w:r>
        <w:t>4</w:t>
      </w:r>
      <w:r>
        <w:tab/>
      </w:r>
      <w:r w:rsidR="00DA067C">
        <w:t>References</w:t>
      </w:r>
    </w:p>
    <w:p w14:paraId="0129E9CA" w14:textId="7196984A" w:rsidR="004A1345" w:rsidRDefault="004A1345" w:rsidP="006F1C1D">
      <w:r>
        <w:t>[</w:t>
      </w:r>
      <w:r w:rsidR="00732500">
        <w:t>1</w:t>
      </w:r>
      <w:r>
        <w:t xml:space="preserve">] </w:t>
      </w:r>
      <w:r w:rsidR="00350502">
        <w:t>“RAN1 Chair’s Notes”, 3GPP TSG RAN WG1 #118, Maastricht, NL, August 19 – 23, 2024</w:t>
      </w:r>
    </w:p>
    <w:p w14:paraId="6756F2EA" w14:textId="3ED0388E" w:rsidR="008915EF" w:rsidRDefault="008915EF" w:rsidP="00AC7D96">
      <w:r>
        <w:t>[</w:t>
      </w:r>
      <w:r w:rsidR="00732500">
        <w:t>2</w:t>
      </w:r>
      <w:r>
        <w:t>] TR 38.843 “</w:t>
      </w:r>
      <w:r w:rsidR="00AC7D96">
        <w:t>3rd Generation Partnership Project; Technical Specification Group Radio Access Network; Study on Artificial Intelligence (AI)/Machine Learning (ML) for NR air interface (Release 18)</w:t>
      </w:r>
      <w:r w:rsidR="00732500">
        <w:t>”, V18.0.0, 3GPP, 2023-12</w:t>
      </w:r>
    </w:p>
    <w:p w14:paraId="5AA2EE23" w14:textId="19645078" w:rsidR="004661A7" w:rsidRPr="004661A7" w:rsidRDefault="00732500" w:rsidP="006F1C1D">
      <w:pPr>
        <w:rPr>
          <w:lang w:val="en-US"/>
        </w:rPr>
      </w:pPr>
      <w:r>
        <w:lastRenderedPageBreak/>
        <w:t>[3]</w:t>
      </w:r>
      <w:r w:rsidR="004661A7" w:rsidRPr="004661A7">
        <w:t xml:space="preserve"> TS 38.300, “3rd Generation Partnership Project; Technical Specification Group Radio Access Network; NR; NR and NG-RAN Overall Description; Stage 2 (Release 1</w:t>
      </w:r>
      <w:r w:rsidR="00F6507A">
        <w:t>8</w:t>
      </w:r>
      <w:r w:rsidR="004661A7" w:rsidRPr="004661A7">
        <w:t>)”, V1</w:t>
      </w:r>
      <w:r w:rsidR="00F6507A">
        <w:t>8</w:t>
      </w:r>
      <w:r w:rsidR="004661A7" w:rsidRPr="004661A7">
        <w:t>.</w:t>
      </w:r>
      <w:r w:rsidR="005D23ED">
        <w:t>2</w:t>
      </w:r>
      <w:r w:rsidR="004661A7" w:rsidRPr="004661A7">
        <w:t>.0, 3GPP, 202</w:t>
      </w:r>
      <w:r w:rsidR="005D23ED">
        <w:t>4</w:t>
      </w:r>
      <w:r w:rsidR="004661A7" w:rsidRPr="004661A7">
        <w:t>-0</w:t>
      </w:r>
      <w:r w:rsidR="005D23ED">
        <w:t>7</w:t>
      </w:r>
      <w:r w:rsidR="004661A7" w:rsidRPr="004661A7">
        <w:rPr>
          <w:lang w:val="en-US"/>
        </w:rPr>
        <w:t> </w:t>
      </w:r>
    </w:p>
    <w:p w14:paraId="37969419" w14:textId="13B09BF3" w:rsidR="004661A7" w:rsidRPr="004661A7" w:rsidRDefault="00732500" w:rsidP="006F1C1D">
      <w:pPr>
        <w:rPr>
          <w:lang w:val="en-US"/>
        </w:rPr>
      </w:pPr>
      <w:r>
        <w:t>[4]</w:t>
      </w:r>
      <w:r w:rsidR="004661A7" w:rsidRPr="004661A7">
        <w:t xml:space="preserve"> TS 38.331, “3rd Generation Partnership Project; Technical Specification Group Radio Access Network; NR; Radio Resource Control (RRC) protocol specification (Release 1</w:t>
      </w:r>
      <w:r w:rsidR="006E7F30">
        <w:t>8</w:t>
      </w:r>
      <w:r w:rsidR="004661A7" w:rsidRPr="004661A7">
        <w:t>)”, V1</w:t>
      </w:r>
      <w:r w:rsidR="006E7F30">
        <w:t>8</w:t>
      </w:r>
      <w:r w:rsidR="004661A7" w:rsidRPr="004661A7">
        <w:t>.</w:t>
      </w:r>
      <w:r w:rsidR="006E7F30">
        <w:t>2</w:t>
      </w:r>
      <w:r w:rsidR="004661A7" w:rsidRPr="004661A7">
        <w:t>.0, 3GPP, 202</w:t>
      </w:r>
      <w:r w:rsidR="006E7F30">
        <w:t>4</w:t>
      </w:r>
      <w:r w:rsidR="004661A7" w:rsidRPr="004661A7">
        <w:t>-0</w:t>
      </w:r>
      <w:r w:rsidR="006E7F30">
        <w:t>7</w:t>
      </w:r>
      <w:r w:rsidR="004661A7" w:rsidRPr="004661A7">
        <w:rPr>
          <w:lang w:val="en-US"/>
        </w:rPr>
        <w:t> </w:t>
      </w:r>
    </w:p>
    <w:p w14:paraId="2973EC8A" w14:textId="42253340" w:rsidR="006F1C1D" w:rsidRDefault="00732500" w:rsidP="006F1C1D">
      <w:pPr>
        <w:rPr>
          <w:lang w:val="en-US"/>
        </w:rPr>
      </w:pPr>
      <w:r>
        <w:t>[5]</w:t>
      </w:r>
      <w:r w:rsidR="004661A7" w:rsidRPr="004661A7">
        <w:t xml:space="preserve"> TS 38.323, “3rd Generation Partnership Project; Technical Specification Group Radio Access Network; NR; Packet Data Convergence Protocol (PDCP) specification (Release 1</w:t>
      </w:r>
      <w:r w:rsidR="00704053">
        <w:t>8</w:t>
      </w:r>
      <w:r w:rsidR="004661A7" w:rsidRPr="004661A7">
        <w:t xml:space="preserve">)”, </w:t>
      </w:r>
      <w:r w:rsidR="00901A37">
        <w:t>V</w:t>
      </w:r>
      <w:r w:rsidR="00704053">
        <w:t>18.2.</w:t>
      </w:r>
      <w:r w:rsidR="004661A7" w:rsidRPr="004661A7">
        <w:t>0, 3GPP, 202</w:t>
      </w:r>
      <w:r w:rsidR="00704053">
        <w:t>4</w:t>
      </w:r>
      <w:r w:rsidR="004661A7" w:rsidRPr="004661A7">
        <w:t>-0</w:t>
      </w:r>
      <w:r w:rsidR="00704053">
        <w:t>7</w:t>
      </w:r>
      <w:r w:rsidR="004661A7" w:rsidRPr="004661A7">
        <w:rPr>
          <w:lang w:val="en-US"/>
        </w:rPr>
        <w:t>  </w:t>
      </w:r>
    </w:p>
    <w:p w14:paraId="2495EC47" w14:textId="5317DA1A" w:rsidR="004661A7" w:rsidRPr="004661A7" w:rsidRDefault="00732500" w:rsidP="006F1C1D">
      <w:pPr>
        <w:rPr>
          <w:lang w:val="en-US"/>
        </w:rPr>
      </w:pPr>
      <w:r>
        <w:t>[6]</w:t>
      </w:r>
      <w:r w:rsidR="004661A7" w:rsidRPr="004661A7">
        <w:t xml:space="preserve"> TS 38.306, “3rd Generation Partnership Project; Technical Specification Group Radio Access Network; NR; User Equipment (UE) radio access capabilities (Release 1</w:t>
      </w:r>
      <w:r w:rsidR="002F178B">
        <w:t>8</w:t>
      </w:r>
      <w:r w:rsidR="004661A7" w:rsidRPr="004661A7">
        <w:t xml:space="preserve">)”, </w:t>
      </w:r>
      <w:r w:rsidR="002F178B">
        <w:t>V18.2</w:t>
      </w:r>
      <w:r w:rsidR="004661A7" w:rsidRPr="004661A7">
        <w:t>.0, 3GPP, 202</w:t>
      </w:r>
      <w:r w:rsidR="002F178B">
        <w:t>4</w:t>
      </w:r>
      <w:r w:rsidR="004661A7" w:rsidRPr="004661A7">
        <w:t>-0</w:t>
      </w:r>
      <w:r w:rsidR="002F178B">
        <w:t>7</w:t>
      </w:r>
      <w:r w:rsidR="004661A7" w:rsidRPr="004661A7">
        <w:rPr>
          <w:lang w:val="en-US"/>
        </w:rPr>
        <w:t> </w:t>
      </w:r>
    </w:p>
    <w:p w14:paraId="26962361" w14:textId="01BD3801" w:rsidR="00080512" w:rsidRPr="004661A7" w:rsidRDefault="00732500" w:rsidP="009339CB">
      <w:pPr>
        <w:rPr>
          <w:lang w:val="en-US"/>
        </w:rPr>
      </w:pPr>
      <w:r>
        <w:t>[7]</w:t>
      </w:r>
      <w:r w:rsidR="004661A7" w:rsidRPr="004661A7">
        <w:t xml:space="preserve"> TS 38.214, “3rd Generation Partnership Project; Technical Specification Group Radio Access Network; NR; Physical layer procedures for data (Release 1</w:t>
      </w:r>
      <w:r w:rsidR="002C6357">
        <w:t>8</w:t>
      </w:r>
      <w:r w:rsidR="004661A7" w:rsidRPr="004661A7">
        <w:t>)”, V1</w:t>
      </w:r>
      <w:r w:rsidR="00A85188">
        <w:t>8</w:t>
      </w:r>
      <w:r w:rsidR="004661A7" w:rsidRPr="004661A7">
        <w:t>.</w:t>
      </w:r>
      <w:r w:rsidR="00A85188">
        <w:t>2</w:t>
      </w:r>
      <w:r w:rsidR="004661A7" w:rsidRPr="004661A7">
        <w:t>.0, 3GPP, 202</w:t>
      </w:r>
      <w:r w:rsidR="00E62142">
        <w:t>4</w:t>
      </w:r>
      <w:r w:rsidR="004661A7" w:rsidRPr="004661A7">
        <w:t>-0</w:t>
      </w:r>
      <w:r w:rsidR="00E62142">
        <w:t>3</w:t>
      </w:r>
      <w:r w:rsidR="004661A7" w:rsidRPr="004661A7">
        <w:rPr>
          <w:lang w:val="en-US"/>
        </w:rPr>
        <w:t> </w:t>
      </w:r>
    </w:p>
    <w:sectPr w:rsidR="00080512" w:rsidRPr="004661A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7EFC4D" w14:textId="77777777" w:rsidR="00B5751D" w:rsidRDefault="00B5751D">
      <w:r>
        <w:separator/>
      </w:r>
    </w:p>
  </w:endnote>
  <w:endnote w:type="continuationSeparator" w:id="0">
    <w:p w14:paraId="42D36EC1" w14:textId="77777777" w:rsidR="00B5751D" w:rsidRDefault="00B5751D">
      <w:r>
        <w:continuationSeparator/>
      </w:r>
    </w:p>
  </w:endnote>
  <w:endnote w:type="continuationNotice" w:id="1">
    <w:p w14:paraId="50C77ACF"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BD713" w14:textId="77777777" w:rsidR="00B5751D" w:rsidRDefault="00B5751D">
      <w:r>
        <w:separator/>
      </w:r>
    </w:p>
  </w:footnote>
  <w:footnote w:type="continuationSeparator" w:id="0">
    <w:p w14:paraId="5A4D1FE3" w14:textId="77777777" w:rsidR="00B5751D" w:rsidRDefault="00B5751D">
      <w:r>
        <w:continuationSeparator/>
      </w:r>
    </w:p>
  </w:footnote>
  <w:footnote w:type="continuationNotice" w:id="1">
    <w:p w14:paraId="69D9641B" w14:textId="77777777" w:rsidR="00B5751D" w:rsidRDefault="00B575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594EA6"/>
    <w:multiLevelType w:val="hybridMultilevel"/>
    <w:tmpl w:val="43DE2582"/>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B7FA1"/>
    <w:multiLevelType w:val="hybridMultilevel"/>
    <w:tmpl w:val="389E5086"/>
    <w:lvl w:ilvl="0" w:tplc="88EC68E2">
      <w:start w:val="1"/>
      <w:numFmt w:val="bullet"/>
      <w:lvlText w:val=""/>
      <w:lvlJc w:val="left"/>
      <w:pPr>
        <w:ind w:left="1020" w:hanging="360"/>
      </w:pPr>
      <w:rPr>
        <w:rFonts w:ascii="Symbol" w:hAnsi="Symbol"/>
      </w:rPr>
    </w:lvl>
    <w:lvl w:ilvl="1" w:tplc="06E4B236">
      <w:start w:val="1"/>
      <w:numFmt w:val="bullet"/>
      <w:lvlText w:val=""/>
      <w:lvlJc w:val="left"/>
      <w:pPr>
        <w:ind w:left="1020" w:hanging="360"/>
      </w:pPr>
      <w:rPr>
        <w:rFonts w:ascii="Symbol" w:hAnsi="Symbol"/>
      </w:rPr>
    </w:lvl>
    <w:lvl w:ilvl="2" w:tplc="395E2AC4">
      <w:start w:val="1"/>
      <w:numFmt w:val="bullet"/>
      <w:lvlText w:val=""/>
      <w:lvlJc w:val="left"/>
      <w:pPr>
        <w:ind w:left="1020" w:hanging="360"/>
      </w:pPr>
      <w:rPr>
        <w:rFonts w:ascii="Symbol" w:hAnsi="Symbol"/>
      </w:rPr>
    </w:lvl>
    <w:lvl w:ilvl="3" w:tplc="12046174">
      <w:start w:val="1"/>
      <w:numFmt w:val="bullet"/>
      <w:lvlText w:val=""/>
      <w:lvlJc w:val="left"/>
      <w:pPr>
        <w:ind w:left="1020" w:hanging="360"/>
      </w:pPr>
      <w:rPr>
        <w:rFonts w:ascii="Symbol" w:hAnsi="Symbol"/>
      </w:rPr>
    </w:lvl>
    <w:lvl w:ilvl="4" w:tplc="1E88A28C">
      <w:start w:val="1"/>
      <w:numFmt w:val="bullet"/>
      <w:lvlText w:val=""/>
      <w:lvlJc w:val="left"/>
      <w:pPr>
        <w:ind w:left="1020" w:hanging="360"/>
      </w:pPr>
      <w:rPr>
        <w:rFonts w:ascii="Symbol" w:hAnsi="Symbol"/>
      </w:rPr>
    </w:lvl>
    <w:lvl w:ilvl="5" w:tplc="71F401F0">
      <w:start w:val="1"/>
      <w:numFmt w:val="bullet"/>
      <w:lvlText w:val=""/>
      <w:lvlJc w:val="left"/>
      <w:pPr>
        <w:ind w:left="1020" w:hanging="360"/>
      </w:pPr>
      <w:rPr>
        <w:rFonts w:ascii="Symbol" w:hAnsi="Symbol"/>
      </w:rPr>
    </w:lvl>
    <w:lvl w:ilvl="6" w:tplc="BC549940">
      <w:start w:val="1"/>
      <w:numFmt w:val="bullet"/>
      <w:lvlText w:val=""/>
      <w:lvlJc w:val="left"/>
      <w:pPr>
        <w:ind w:left="1020" w:hanging="360"/>
      </w:pPr>
      <w:rPr>
        <w:rFonts w:ascii="Symbol" w:hAnsi="Symbol"/>
      </w:rPr>
    </w:lvl>
    <w:lvl w:ilvl="7" w:tplc="C97662D0">
      <w:start w:val="1"/>
      <w:numFmt w:val="bullet"/>
      <w:lvlText w:val=""/>
      <w:lvlJc w:val="left"/>
      <w:pPr>
        <w:ind w:left="1020" w:hanging="360"/>
      </w:pPr>
      <w:rPr>
        <w:rFonts w:ascii="Symbol" w:hAnsi="Symbol"/>
      </w:rPr>
    </w:lvl>
    <w:lvl w:ilvl="8" w:tplc="1ED09480">
      <w:start w:val="1"/>
      <w:numFmt w:val="bullet"/>
      <w:lvlText w:val=""/>
      <w:lvlJc w:val="left"/>
      <w:pPr>
        <w:ind w:left="1020" w:hanging="360"/>
      </w:pPr>
      <w:rPr>
        <w:rFonts w:ascii="Symbol" w:hAnsi="Symbol"/>
      </w:rPr>
    </w:lvl>
  </w:abstractNum>
  <w:abstractNum w:abstractNumId="16"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673F7"/>
    <w:multiLevelType w:val="hybridMultilevel"/>
    <w:tmpl w:val="2D70914C"/>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C7147E"/>
    <w:multiLevelType w:val="hybridMultilevel"/>
    <w:tmpl w:val="177A1D0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A31915"/>
    <w:multiLevelType w:val="hybridMultilevel"/>
    <w:tmpl w:val="F09ADA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44201"/>
    <w:multiLevelType w:val="hybridMultilevel"/>
    <w:tmpl w:val="C764E856"/>
    <w:lvl w:ilvl="0" w:tplc="B732AEBC">
      <w:start w:val="1"/>
      <w:numFmt w:val="bullet"/>
      <w:lvlText w:val=""/>
      <w:lvlJc w:val="left"/>
      <w:pPr>
        <w:ind w:left="1020" w:hanging="360"/>
      </w:pPr>
      <w:rPr>
        <w:rFonts w:ascii="Symbol" w:hAnsi="Symbol"/>
      </w:rPr>
    </w:lvl>
    <w:lvl w:ilvl="1" w:tplc="DE145E38">
      <w:start w:val="1"/>
      <w:numFmt w:val="bullet"/>
      <w:lvlText w:val=""/>
      <w:lvlJc w:val="left"/>
      <w:pPr>
        <w:ind w:left="1020" w:hanging="360"/>
      </w:pPr>
      <w:rPr>
        <w:rFonts w:ascii="Symbol" w:hAnsi="Symbol"/>
      </w:rPr>
    </w:lvl>
    <w:lvl w:ilvl="2" w:tplc="180E3CA4">
      <w:start w:val="1"/>
      <w:numFmt w:val="bullet"/>
      <w:lvlText w:val=""/>
      <w:lvlJc w:val="left"/>
      <w:pPr>
        <w:ind w:left="1020" w:hanging="360"/>
      </w:pPr>
      <w:rPr>
        <w:rFonts w:ascii="Symbol" w:hAnsi="Symbol"/>
      </w:rPr>
    </w:lvl>
    <w:lvl w:ilvl="3" w:tplc="B0706B84">
      <w:start w:val="1"/>
      <w:numFmt w:val="bullet"/>
      <w:lvlText w:val=""/>
      <w:lvlJc w:val="left"/>
      <w:pPr>
        <w:ind w:left="1020" w:hanging="360"/>
      </w:pPr>
      <w:rPr>
        <w:rFonts w:ascii="Symbol" w:hAnsi="Symbol"/>
      </w:rPr>
    </w:lvl>
    <w:lvl w:ilvl="4" w:tplc="3EB87744">
      <w:start w:val="1"/>
      <w:numFmt w:val="bullet"/>
      <w:lvlText w:val=""/>
      <w:lvlJc w:val="left"/>
      <w:pPr>
        <w:ind w:left="1020" w:hanging="360"/>
      </w:pPr>
      <w:rPr>
        <w:rFonts w:ascii="Symbol" w:hAnsi="Symbol"/>
      </w:rPr>
    </w:lvl>
    <w:lvl w:ilvl="5" w:tplc="DE46E0FA">
      <w:start w:val="1"/>
      <w:numFmt w:val="bullet"/>
      <w:lvlText w:val=""/>
      <w:lvlJc w:val="left"/>
      <w:pPr>
        <w:ind w:left="1020" w:hanging="360"/>
      </w:pPr>
      <w:rPr>
        <w:rFonts w:ascii="Symbol" w:hAnsi="Symbol"/>
      </w:rPr>
    </w:lvl>
    <w:lvl w:ilvl="6" w:tplc="9BC67974">
      <w:start w:val="1"/>
      <w:numFmt w:val="bullet"/>
      <w:lvlText w:val=""/>
      <w:lvlJc w:val="left"/>
      <w:pPr>
        <w:ind w:left="1020" w:hanging="360"/>
      </w:pPr>
      <w:rPr>
        <w:rFonts w:ascii="Symbol" w:hAnsi="Symbol"/>
      </w:rPr>
    </w:lvl>
    <w:lvl w:ilvl="7" w:tplc="E6329958">
      <w:start w:val="1"/>
      <w:numFmt w:val="bullet"/>
      <w:lvlText w:val=""/>
      <w:lvlJc w:val="left"/>
      <w:pPr>
        <w:ind w:left="1020" w:hanging="360"/>
      </w:pPr>
      <w:rPr>
        <w:rFonts w:ascii="Symbol" w:hAnsi="Symbol"/>
      </w:rPr>
    </w:lvl>
    <w:lvl w:ilvl="8" w:tplc="75862520">
      <w:start w:val="1"/>
      <w:numFmt w:val="bullet"/>
      <w:lvlText w:val=""/>
      <w:lvlJc w:val="left"/>
      <w:pPr>
        <w:ind w:left="1020" w:hanging="360"/>
      </w:pPr>
      <w:rPr>
        <w:rFonts w:ascii="Symbol" w:hAnsi="Symbol"/>
      </w:rPr>
    </w:lvl>
  </w:abstractNum>
  <w:abstractNum w:abstractNumId="27" w15:restartNumberingAfterBreak="0">
    <w:nsid w:val="7F912895"/>
    <w:multiLevelType w:val="hybridMultilevel"/>
    <w:tmpl w:val="334A2BBC"/>
    <w:lvl w:ilvl="0" w:tplc="48E86F14">
      <w:start w:val="1"/>
      <w:numFmt w:val="bullet"/>
      <w:lvlText w:val=""/>
      <w:lvlJc w:val="left"/>
      <w:pPr>
        <w:ind w:left="1020" w:hanging="360"/>
      </w:pPr>
      <w:rPr>
        <w:rFonts w:ascii="Symbol" w:hAnsi="Symbol"/>
      </w:rPr>
    </w:lvl>
    <w:lvl w:ilvl="1" w:tplc="F01CFC9E">
      <w:start w:val="1"/>
      <w:numFmt w:val="bullet"/>
      <w:lvlText w:val=""/>
      <w:lvlJc w:val="left"/>
      <w:pPr>
        <w:ind w:left="1020" w:hanging="360"/>
      </w:pPr>
      <w:rPr>
        <w:rFonts w:ascii="Symbol" w:hAnsi="Symbol"/>
      </w:rPr>
    </w:lvl>
    <w:lvl w:ilvl="2" w:tplc="C4F0A4F2">
      <w:start w:val="1"/>
      <w:numFmt w:val="bullet"/>
      <w:lvlText w:val=""/>
      <w:lvlJc w:val="left"/>
      <w:pPr>
        <w:ind w:left="1020" w:hanging="360"/>
      </w:pPr>
      <w:rPr>
        <w:rFonts w:ascii="Symbol" w:hAnsi="Symbol"/>
      </w:rPr>
    </w:lvl>
    <w:lvl w:ilvl="3" w:tplc="893EA350">
      <w:start w:val="1"/>
      <w:numFmt w:val="bullet"/>
      <w:lvlText w:val=""/>
      <w:lvlJc w:val="left"/>
      <w:pPr>
        <w:ind w:left="1020" w:hanging="360"/>
      </w:pPr>
      <w:rPr>
        <w:rFonts w:ascii="Symbol" w:hAnsi="Symbol"/>
      </w:rPr>
    </w:lvl>
    <w:lvl w:ilvl="4" w:tplc="DDB4CF02">
      <w:start w:val="1"/>
      <w:numFmt w:val="bullet"/>
      <w:lvlText w:val=""/>
      <w:lvlJc w:val="left"/>
      <w:pPr>
        <w:ind w:left="1020" w:hanging="360"/>
      </w:pPr>
      <w:rPr>
        <w:rFonts w:ascii="Symbol" w:hAnsi="Symbol"/>
      </w:rPr>
    </w:lvl>
    <w:lvl w:ilvl="5" w:tplc="3FAC200A">
      <w:start w:val="1"/>
      <w:numFmt w:val="bullet"/>
      <w:lvlText w:val=""/>
      <w:lvlJc w:val="left"/>
      <w:pPr>
        <w:ind w:left="1020" w:hanging="360"/>
      </w:pPr>
      <w:rPr>
        <w:rFonts w:ascii="Symbol" w:hAnsi="Symbol"/>
      </w:rPr>
    </w:lvl>
    <w:lvl w:ilvl="6" w:tplc="6532AC80">
      <w:start w:val="1"/>
      <w:numFmt w:val="bullet"/>
      <w:lvlText w:val=""/>
      <w:lvlJc w:val="left"/>
      <w:pPr>
        <w:ind w:left="1020" w:hanging="360"/>
      </w:pPr>
      <w:rPr>
        <w:rFonts w:ascii="Symbol" w:hAnsi="Symbol"/>
      </w:rPr>
    </w:lvl>
    <w:lvl w:ilvl="7" w:tplc="54DE5E6A">
      <w:start w:val="1"/>
      <w:numFmt w:val="bullet"/>
      <w:lvlText w:val=""/>
      <w:lvlJc w:val="left"/>
      <w:pPr>
        <w:ind w:left="1020" w:hanging="360"/>
      </w:pPr>
      <w:rPr>
        <w:rFonts w:ascii="Symbol" w:hAnsi="Symbol"/>
      </w:rPr>
    </w:lvl>
    <w:lvl w:ilvl="8" w:tplc="9A8C8B0E">
      <w:start w:val="1"/>
      <w:numFmt w:val="bullet"/>
      <w:lvlText w:val=""/>
      <w:lvlJc w:val="left"/>
      <w:pPr>
        <w:ind w:left="1020" w:hanging="360"/>
      </w:pPr>
      <w:rPr>
        <w:rFonts w:ascii="Symbol" w:hAnsi="Symbol"/>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7"/>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927033480">
    <w:abstractNumId w:val="22"/>
  </w:num>
  <w:num w:numId="19" w16cid:durableId="19619121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898420">
    <w:abstractNumId w:val="14"/>
  </w:num>
  <w:num w:numId="21" w16cid:durableId="1221550620">
    <w:abstractNumId w:val="21"/>
  </w:num>
  <w:num w:numId="22" w16cid:durableId="1219393768">
    <w:abstractNumId w:val="25"/>
  </w:num>
  <w:num w:numId="23" w16cid:durableId="518813097">
    <w:abstractNumId w:val="12"/>
  </w:num>
  <w:num w:numId="24" w16cid:durableId="1974939434">
    <w:abstractNumId w:val="19"/>
  </w:num>
  <w:num w:numId="25" w16cid:durableId="216598398">
    <w:abstractNumId w:val="18"/>
  </w:num>
  <w:num w:numId="26" w16cid:durableId="969096697">
    <w:abstractNumId w:val="12"/>
  </w:num>
  <w:num w:numId="27" w16cid:durableId="1153328805">
    <w:abstractNumId w:val="13"/>
  </w:num>
  <w:num w:numId="28" w16cid:durableId="1671760252">
    <w:abstractNumId w:val="26"/>
  </w:num>
  <w:num w:numId="29" w16cid:durableId="746924831">
    <w:abstractNumId w:val="15"/>
  </w:num>
  <w:num w:numId="30" w16cid:durableId="55274237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06"/>
    <w:rsid w:val="0000549A"/>
    <w:rsid w:val="00006C10"/>
    <w:rsid w:val="000146CA"/>
    <w:rsid w:val="00015B2C"/>
    <w:rsid w:val="00016557"/>
    <w:rsid w:val="00020642"/>
    <w:rsid w:val="00023C40"/>
    <w:rsid w:val="0002507D"/>
    <w:rsid w:val="00033397"/>
    <w:rsid w:val="00033F7A"/>
    <w:rsid w:val="00040095"/>
    <w:rsid w:val="00041322"/>
    <w:rsid w:val="00044494"/>
    <w:rsid w:val="00065268"/>
    <w:rsid w:val="00073C9C"/>
    <w:rsid w:val="00076412"/>
    <w:rsid w:val="00080512"/>
    <w:rsid w:val="00083E1A"/>
    <w:rsid w:val="00087D26"/>
    <w:rsid w:val="00090468"/>
    <w:rsid w:val="00092B04"/>
    <w:rsid w:val="00094568"/>
    <w:rsid w:val="000A1D38"/>
    <w:rsid w:val="000A37D5"/>
    <w:rsid w:val="000A3CFE"/>
    <w:rsid w:val="000B7BCF"/>
    <w:rsid w:val="000C522B"/>
    <w:rsid w:val="000D3DFC"/>
    <w:rsid w:val="000D58AB"/>
    <w:rsid w:val="000E5CB8"/>
    <w:rsid w:val="000E6315"/>
    <w:rsid w:val="00102469"/>
    <w:rsid w:val="00110127"/>
    <w:rsid w:val="00112F1A"/>
    <w:rsid w:val="0011543B"/>
    <w:rsid w:val="00120CB0"/>
    <w:rsid w:val="00123CD8"/>
    <w:rsid w:val="0012610D"/>
    <w:rsid w:val="001313B5"/>
    <w:rsid w:val="00135727"/>
    <w:rsid w:val="00145075"/>
    <w:rsid w:val="001561A1"/>
    <w:rsid w:val="00173A92"/>
    <w:rsid w:val="001741A0"/>
    <w:rsid w:val="00175FA0"/>
    <w:rsid w:val="00181C46"/>
    <w:rsid w:val="00184422"/>
    <w:rsid w:val="0018542A"/>
    <w:rsid w:val="00194CD0"/>
    <w:rsid w:val="0019710F"/>
    <w:rsid w:val="001A012B"/>
    <w:rsid w:val="001B49C9"/>
    <w:rsid w:val="001C23F4"/>
    <w:rsid w:val="001C4F79"/>
    <w:rsid w:val="001D4B9B"/>
    <w:rsid w:val="001F168B"/>
    <w:rsid w:val="001F5C40"/>
    <w:rsid w:val="001F7831"/>
    <w:rsid w:val="00201676"/>
    <w:rsid w:val="00204045"/>
    <w:rsid w:val="0020712B"/>
    <w:rsid w:val="002122A5"/>
    <w:rsid w:val="00220DCA"/>
    <w:rsid w:val="002228E2"/>
    <w:rsid w:val="0022606D"/>
    <w:rsid w:val="00230186"/>
    <w:rsid w:val="00231728"/>
    <w:rsid w:val="00244A05"/>
    <w:rsid w:val="00250404"/>
    <w:rsid w:val="00256B74"/>
    <w:rsid w:val="002610D8"/>
    <w:rsid w:val="00262315"/>
    <w:rsid w:val="0026581B"/>
    <w:rsid w:val="002747EC"/>
    <w:rsid w:val="0027506E"/>
    <w:rsid w:val="002846B8"/>
    <w:rsid w:val="002854BA"/>
    <w:rsid w:val="002855BF"/>
    <w:rsid w:val="00290A7C"/>
    <w:rsid w:val="0029436D"/>
    <w:rsid w:val="00296BDD"/>
    <w:rsid w:val="002A387E"/>
    <w:rsid w:val="002B1F79"/>
    <w:rsid w:val="002B2988"/>
    <w:rsid w:val="002C292E"/>
    <w:rsid w:val="002C3FB9"/>
    <w:rsid w:val="002C54E7"/>
    <w:rsid w:val="002C6357"/>
    <w:rsid w:val="002D0526"/>
    <w:rsid w:val="002D367D"/>
    <w:rsid w:val="002D3BF9"/>
    <w:rsid w:val="002D60A6"/>
    <w:rsid w:val="002E0E81"/>
    <w:rsid w:val="002E5AC3"/>
    <w:rsid w:val="002F0D22"/>
    <w:rsid w:val="002F178B"/>
    <w:rsid w:val="003060F3"/>
    <w:rsid w:val="00311B17"/>
    <w:rsid w:val="003136CD"/>
    <w:rsid w:val="003172DC"/>
    <w:rsid w:val="00317EAA"/>
    <w:rsid w:val="0032257C"/>
    <w:rsid w:val="00322593"/>
    <w:rsid w:val="00325AE3"/>
    <w:rsid w:val="00326069"/>
    <w:rsid w:val="00331749"/>
    <w:rsid w:val="00332036"/>
    <w:rsid w:val="003336B1"/>
    <w:rsid w:val="00340FCE"/>
    <w:rsid w:val="00341997"/>
    <w:rsid w:val="00350502"/>
    <w:rsid w:val="00350757"/>
    <w:rsid w:val="0035245D"/>
    <w:rsid w:val="0035462D"/>
    <w:rsid w:val="0036459E"/>
    <w:rsid w:val="00364B41"/>
    <w:rsid w:val="00373CFB"/>
    <w:rsid w:val="00382B4D"/>
    <w:rsid w:val="00383096"/>
    <w:rsid w:val="00383F96"/>
    <w:rsid w:val="0039346C"/>
    <w:rsid w:val="003A03EA"/>
    <w:rsid w:val="003A41EF"/>
    <w:rsid w:val="003A4ED8"/>
    <w:rsid w:val="003B32FB"/>
    <w:rsid w:val="003B40AD"/>
    <w:rsid w:val="003B48D2"/>
    <w:rsid w:val="003C4E37"/>
    <w:rsid w:val="003C5542"/>
    <w:rsid w:val="003D0FD0"/>
    <w:rsid w:val="003D6B42"/>
    <w:rsid w:val="003D71AA"/>
    <w:rsid w:val="003D7AAB"/>
    <w:rsid w:val="003E1019"/>
    <w:rsid w:val="003E16BE"/>
    <w:rsid w:val="003E422F"/>
    <w:rsid w:val="003F48F2"/>
    <w:rsid w:val="003F4E28"/>
    <w:rsid w:val="003F6C21"/>
    <w:rsid w:val="003F6FBC"/>
    <w:rsid w:val="003F76B6"/>
    <w:rsid w:val="004006E8"/>
    <w:rsid w:val="00400E46"/>
    <w:rsid w:val="00401855"/>
    <w:rsid w:val="0040349E"/>
    <w:rsid w:val="00433260"/>
    <w:rsid w:val="00440992"/>
    <w:rsid w:val="00446C3A"/>
    <w:rsid w:val="004503F1"/>
    <w:rsid w:val="00461496"/>
    <w:rsid w:val="004615A6"/>
    <w:rsid w:val="00465587"/>
    <w:rsid w:val="004661A7"/>
    <w:rsid w:val="004711FE"/>
    <w:rsid w:val="00475605"/>
    <w:rsid w:val="00477455"/>
    <w:rsid w:val="00480A72"/>
    <w:rsid w:val="00484136"/>
    <w:rsid w:val="00491307"/>
    <w:rsid w:val="004A1345"/>
    <w:rsid w:val="004A1F7B"/>
    <w:rsid w:val="004A7698"/>
    <w:rsid w:val="004B774B"/>
    <w:rsid w:val="004C292C"/>
    <w:rsid w:val="004C44D2"/>
    <w:rsid w:val="004C5C85"/>
    <w:rsid w:val="004D3578"/>
    <w:rsid w:val="004D380D"/>
    <w:rsid w:val="004D52D5"/>
    <w:rsid w:val="004E213A"/>
    <w:rsid w:val="004E6572"/>
    <w:rsid w:val="004E7553"/>
    <w:rsid w:val="004F4540"/>
    <w:rsid w:val="004F73A7"/>
    <w:rsid w:val="00503171"/>
    <w:rsid w:val="00506C28"/>
    <w:rsid w:val="00534DA0"/>
    <w:rsid w:val="00537809"/>
    <w:rsid w:val="00541A65"/>
    <w:rsid w:val="005432D9"/>
    <w:rsid w:val="00543E6C"/>
    <w:rsid w:val="00565087"/>
    <w:rsid w:val="0056573F"/>
    <w:rsid w:val="00565E8E"/>
    <w:rsid w:val="00571279"/>
    <w:rsid w:val="00573250"/>
    <w:rsid w:val="0057466C"/>
    <w:rsid w:val="00575FC5"/>
    <w:rsid w:val="005949E9"/>
    <w:rsid w:val="005A13AB"/>
    <w:rsid w:val="005A49C6"/>
    <w:rsid w:val="005B00AA"/>
    <w:rsid w:val="005C6993"/>
    <w:rsid w:val="005C766E"/>
    <w:rsid w:val="005C7CD5"/>
    <w:rsid w:val="005D0086"/>
    <w:rsid w:val="005D0194"/>
    <w:rsid w:val="005D23ED"/>
    <w:rsid w:val="005E0DFD"/>
    <w:rsid w:val="005E2A91"/>
    <w:rsid w:val="005E4B4C"/>
    <w:rsid w:val="00606B08"/>
    <w:rsid w:val="00611566"/>
    <w:rsid w:val="006159AC"/>
    <w:rsid w:val="00624649"/>
    <w:rsid w:val="006439D4"/>
    <w:rsid w:val="00646D99"/>
    <w:rsid w:val="00651841"/>
    <w:rsid w:val="006560AF"/>
    <w:rsid w:val="00656910"/>
    <w:rsid w:val="006574C0"/>
    <w:rsid w:val="00670B9D"/>
    <w:rsid w:val="0068176D"/>
    <w:rsid w:val="006841BE"/>
    <w:rsid w:val="006961BE"/>
    <w:rsid w:val="00696821"/>
    <w:rsid w:val="0069774E"/>
    <w:rsid w:val="006B1A7F"/>
    <w:rsid w:val="006B40E2"/>
    <w:rsid w:val="006B5C93"/>
    <w:rsid w:val="006C66D8"/>
    <w:rsid w:val="006D04C4"/>
    <w:rsid w:val="006D1E24"/>
    <w:rsid w:val="006D299A"/>
    <w:rsid w:val="006D2FCF"/>
    <w:rsid w:val="006D35DE"/>
    <w:rsid w:val="006D5493"/>
    <w:rsid w:val="006E1057"/>
    <w:rsid w:val="006E1417"/>
    <w:rsid w:val="006E2D9C"/>
    <w:rsid w:val="006E5672"/>
    <w:rsid w:val="006E7F30"/>
    <w:rsid w:val="006F0C4E"/>
    <w:rsid w:val="006F1C1D"/>
    <w:rsid w:val="006F6A2C"/>
    <w:rsid w:val="00703BC4"/>
    <w:rsid w:val="00704053"/>
    <w:rsid w:val="007043BE"/>
    <w:rsid w:val="00705A17"/>
    <w:rsid w:val="007069DC"/>
    <w:rsid w:val="00710201"/>
    <w:rsid w:val="0072073A"/>
    <w:rsid w:val="00723B23"/>
    <w:rsid w:val="00732500"/>
    <w:rsid w:val="007342B5"/>
    <w:rsid w:val="00734A5B"/>
    <w:rsid w:val="00740131"/>
    <w:rsid w:val="00744E76"/>
    <w:rsid w:val="00757D40"/>
    <w:rsid w:val="007662B5"/>
    <w:rsid w:val="007728A5"/>
    <w:rsid w:val="00781F0F"/>
    <w:rsid w:val="0078727C"/>
    <w:rsid w:val="0079049D"/>
    <w:rsid w:val="00793444"/>
    <w:rsid w:val="00793DC5"/>
    <w:rsid w:val="00796823"/>
    <w:rsid w:val="007A2E55"/>
    <w:rsid w:val="007B18D8"/>
    <w:rsid w:val="007C095F"/>
    <w:rsid w:val="007C2DD0"/>
    <w:rsid w:val="007D4CCB"/>
    <w:rsid w:val="007D5058"/>
    <w:rsid w:val="007E3437"/>
    <w:rsid w:val="007E5B4F"/>
    <w:rsid w:val="007F2E08"/>
    <w:rsid w:val="008024FA"/>
    <w:rsid w:val="008028A4"/>
    <w:rsid w:val="0080424C"/>
    <w:rsid w:val="00804A27"/>
    <w:rsid w:val="00813245"/>
    <w:rsid w:val="0083669A"/>
    <w:rsid w:val="00837AED"/>
    <w:rsid w:val="00840DE0"/>
    <w:rsid w:val="00841864"/>
    <w:rsid w:val="008453F4"/>
    <w:rsid w:val="00847CD0"/>
    <w:rsid w:val="008607A8"/>
    <w:rsid w:val="0086354A"/>
    <w:rsid w:val="008768CA"/>
    <w:rsid w:val="00877EF9"/>
    <w:rsid w:val="00880559"/>
    <w:rsid w:val="008915EF"/>
    <w:rsid w:val="00893436"/>
    <w:rsid w:val="0089377A"/>
    <w:rsid w:val="008B3D9E"/>
    <w:rsid w:val="008B5306"/>
    <w:rsid w:val="008B54E8"/>
    <w:rsid w:val="008C08F2"/>
    <w:rsid w:val="008C2E2A"/>
    <w:rsid w:val="008C3057"/>
    <w:rsid w:val="008D2E4D"/>
    <w:rsid w:val="008D76AE"/>
    <w:rsid w:val="008E54D5"/>
    <w:rsid w:val="008E55E1"/>
    <w:rsid w:val="008F1173"/>
    <w:rsid w:val="008F396F"/>
    <w:rsid w:val="008F3DCD"/>
    <w:rsid w:val="008F5FC3"/>
    <w:rsid w:val="00901A37"/>
    <w:rsid w:val="0090271F"/>
    <w:rsid w:val="00902DB9"/>
    <w:rsid w:val="0090466A"/>
    <w:rsid w:val="00905E5A"/>
    <w:rsid w:val="00923655"/>
    <w:rsid w:val="00924111"/>
    <w:rsid w:val="009248C6"/>
    <w:rsid w:val="00932DF7"/>
    <w:rsid w:val="00933814"/>
    <w:rsid w:val="009339CB"/>
    <w:rsid w:val="00935148"/>
    <w:rsid w:val="00936071"/>
    <w:rsid w:val="009376CD"/>
    <w:rsid w:val="00940212"/>
    <w:rsid w:val="0094098A"/>
    <w:rsid w:val="00942EC2"/>
    <w:rsid w:val="00961B32"/>
    <w:rsid w:val="00962509"/>
    <w:rsid w:val="00964C27"/>
    <w:rsid w:val="009652F7"/>
    <w:rsid w:val="00970DB3"/>
    <w:rsid w:val="00974BB0"/>
    <w:rsid w:val="00975BCD"/>
    <w:rsid w:val="009818A2"/>
    <w:rsid w:val="009861A5"/>
    <w:rsid w:val="009928A9"/>
    <w:rsid w:val="00997DFA"/>
    <w:rsid w:val="009A0AF3"/>
    <w:rsid w:val="009B07CD"/>
    <w:rsid w:val="009B7AA8"/>
    <w:rsid w:val="009C1146"/>
    <w:rsid w:val="009C19E9"/>
    <w:rsid w:val="009D74A6"/>
    <w:rsid w:val="009E08B6"/>
    <w:rsid w:val="009E0E87"/>
    <w:rsid w:val="00A02D5F"/>
    <w:rsid w:val="00A039FA"/>
    <w:rsid w:val="00A10F02"/>
    <w:rsid w:val="00A12271"/>
    <w:rsid w:val="00A15CC1"/>
    <w:rsid w:val="00A17176"/>
    <w:rsid w:val="00A17D32"/>
    <w:rsid w:val="00A204CA"/>
    <w:rsid w:val="00A209D6"/>
    <w:rsid w:val="00A22738"/>
    <w:rsid w:val="00A320DA"/>
    <w:rsid w:val="00A323F4"/>
    <w:rsid w:val="00A36F5F"/>
    <w:rsid w:val="00A430EC"/>
    <w:rsid w:val="00A53724"/>
    <w:rsid w:val="00A54B2B"/>
    <w:rsid w:val="00A62E6F"/>
    <w:rsid w:val="00A703B6"/>
    <w:rsid w:val="00A729D7"/>
    <w:rsid w:val="00A779AF"/>
    <w:rsid w:val="00A82346"/>
    <w:rsid w:val="00A85188"/>
    <w:rsid w:val="00A9671C"/>
    <w:rsid w:val="00AA1553"/>
    <w:rsid w:val="00AB2509"/>
    <w:rsid w:val="00AB6182"/>
    <w:rsid w:val="00AB689A"/>
    <w:rsid w:val="00AB6CB7"/>
    <w:rsid w:val="00AC2A1A"/>
    <w:rsid w:val="00AC7D96"/>
    <w:rsid w:val="00AD03E7"/>
    <w:rsid w:val="00AD3A68"/>
    <w:rsid w:val="00AD7E7C"/>
    <w:rsid w:val="00AF70D6"/>
    <w:rsid w:val="00B05380"/>
    <w:rsid w:val="00B05962"/>
    <w:rsid w:val="00B1239D"/>
    <w:rsid w:val="00B12E71"/>
    <w:rsid w:val="00B15449"/>
    <w:rsid w:val="00B16C2F"/>
    <w:rsid w:val="00B210E4"/>
    <w:rsid w:val="00B27303"/>
    <w:rsid w:val="00B34B71"/>
    <w:rsid w:val="00B47FD1"/>
    <w:rsid w:val="00B516BB"/>
    <w:rsid w:val="00B5739D"/>
    <w:rsid w:val="00B5751D"/>
    <w:rsid w:val="00B669E9"/>
    <w:rsid w:val="00B70006"/>
    <w:rsid w:val="00B7538C"/>
    <w:rsid w:val="00B84DB2"/>
    <w:rsid w:val="00B90003"/>
    <w:rsid w:val="00B92153"/>
    <w:rsid w:val="00B93036"/>
    <w:rsid w:val="00BA002A"/>
    <w:rsid w:val="00BA455D"/>
    <w:rsid w:val="00BC2A47"/>
    <w:rsid w:val="00BC3555"/>
    <w:rsid w:val="00BC4710"/>
    <w:rsid w:val="00BD02EB"/>
    <w:rsid w:val="00BF688F"/>
    <w:rsid w:val="00BF6A19"/>
    <w:rsid w:val="00C02751"/>
    <w:rsid w:val="00C065D3"/>
    <w:rsid w:val="00C12B51"/>
    <w:rsid w:val="00C2217A"/>
    <w:rsid w:val="00C234C9"/>
    <w:rsid w:val="00C24650"/>
    <w:rsid w:val="00C25465"/>
    <w:rsid w:val="00C31806"/>
    <w:rsid w:val="00C33079"/>
    <w:rsid w:val="00C37CD6"/>
    <w:rsid w:val="00C463E7"/>
    <w:rsid w:val="00C54C59"/>
    <w:rsid w:val="00C55A12"/>
    <w:rsid w:val="00C6553E"/>
    <w:rsid w:val="00C658C8"/>
    <w:rsid w:val="00C6596C"/>
    <w:rsid w:val="00C74ADC"/>
    <w:rsid w:val="00C77158"/>
    <w:rsid w:val="00C825DD"/>
    <w:rsid w:val="00C83A13"/>
    <w:rsid w:val="00C86F10"/>
    <w:rsid w:val="00C9068C"/>
    <w:rsid w:val="00C92967"/>
    <w:rsid w:val="00CA3D0C"/>
    <w:rsid w:val="00CA5C17"/>
    <w:rsid w:val="00CA6070"/>
    <w:rsid w:val="00CA654B"/>
    <w:rsid w:val="00CB4795"/>
    <w:rsid w:val="00CB72B8"/>
    <w:rsid w:val="00CD0BA8"/>
    <w:rsid w:val="00CD4C7B"/>
    <w:rsid w:val="00CD50CC"/>
    <w:rsid w:val="00CD58FE"/>
    <w:rsid w:val="00CD6418"/>
    <w:rsid w:val="00CD64E4"/>
    <w:rsid w:val="00CE0D82"/>
    <w:rsid w:val="00CE16BF"/>
    <w:rsid w:val="00CE682D"/>
    <w:rsid w:val="00CF3D4F"/>
    <w:rsid w:val="00D21875"/>
    <w:rsid w:val="00D24E9C"/>
    <w:rsid w:val="00D326BC"/>
    <w:rsid w:val="00D33BE3"/>
    <w:rsid w:val="00D35350"/>
    <w:rsid w:val="00D364C3"/>
    <w:rsid w:val="00D3792D"/>
    <w:rsid w:val="00D54820"/>
    <w:rsid w:val="00D54A54"/>
    <w:rsid w:val="00D55E47"/>
    <w:rsid w:val="00D56821"/>
    <w:rsid w:val="00D62E19"/>
    <w:rsid w:val="00D657E8"/>
    <w:rsid w:val="00D67CD1"/>
    <w:rsid w:val="00D70424"/>
    <w:rsid w:val="00D738D6"/>
    <w:rsid w:val="00D74E95"/>
    <w:rsid w:val="00D80795"/>
    <w:rsid w:val="00D81A2E"/>
    <w:rsid w:val="00D854BE"/>
    <w:rsid w:val="00D878C2"/>
    <w:rsid w:val="00D87E00"/>
    <w:rsid w:val="00D9134D"/>
    <w:rsid w:val="00D93D50"/>
    <w:rsid w:val="00D96D11"/>
    <w:rsid w:val="00DA067C"/>
    <w:rsid w:val="00DA7A03"/>
    <w:rsid w:val="00DB0DB8"/>
    <w:rsid w:val="00DB1818"/>
    <w:rsid w:val="00DC1D6C"/>
    <w:rsid w:val="00DC309B"/>
    <w:rsid w:val="00DC4DA2"/>
    <w:rsid w:val="00DC5261"/>
    <w:rsid w:val="00DD5758"/>
    <w:rsid w:val="00DD7FE9"/>
    <w:rsid w:val="00DE25D2"/>
    <w:rsid w:val="00DE563E"/>
    <w:rsid w:val="00DF1E41"/>
    <w:rsid w:val="00DF7C20"/>
    <w:rsid w:val="00E038FB"/>
    <w:rsid w:val="00E065D6"/>
    <w:rsid w:val="00E1245C"/>
    <w:rsid w:val="00E12B8B"/>
    <w:rsid w:val="00E13364"/>
    <w:rsid w:val="00E34CD6"/>
    <w:rsid w:val="00E454F5"/>
    <w:rsid w:val="00E46C08"/>
    <w:rsid w:val="00E471CF"/>
    <w:rsid w:val="00E52FB4"/>
    <w:rsid w:val="00E62142"/>
    <w:rsid w:val="00E62835"/>
    <w:rsid w:val="00E6480E"/>
    <w:rsid w:val="00E65469"/>
    <w:rsid w:val="00E742AD"/>
    <w:rsid w:val="00E74565"/>
    <w:rsid w:val="00E77645"/>
    <w:rsid w:val="00E83697"/>
    <w:rsid w:val="00E857DF"/>
    <w:rsid w:val="00E859B6"/>
    <w:rsid w:val="00E87F74"/>
    <w:rsid w:val="00E925AF"/>
    <w:rsid w:val="00E96BC1"/>
    <w:rsid w:val="00E97AD5"/>
    <w:rsid w:val="00EA66C9"/>
    <w:rsid w:val="00EB4F08"/>
    <w:rsid w:val="00EB5D32"/>
    <w:rsid w:val="00EC4A25"/>
    <w:rsid w:val="00EC5A69"/>
    <w:rsid w:val="00EE061A"/>
    <w:rsid w:val="00EF061B"/>
    <w:rsid w:val="00EF5D88"/>
    <w:rsid w:val="00EF612C"/>
    <w:rsid w:val="00F025A2"/>
    <w:rsid w:val="00F036E9"/>
    <w:rsid w:val="00F03C33"/>
    <w:rsid w:val="00F07388"/>
    <w:rsid w:val="00F12492"/>
    <w:rsid w:val="00F15350"/>
    <w:rsid w:val="00F2026E"/>
    <w:rsid w:val="00F2210A"/>
    <w:rsid w:val="00F223BB"/>
    <w:rsid w:val="00F31372"/>
    <w:rsid w:val="00F37743"/>
    <w:rsid w:val="00F40C2F"/>
    <w:rsid w:val="00F42493"/>
    <w:rsid w:val="00F43B2C"/>
    <w:rsid w:val="00F50719"/>
    <w:rsid w:val="00F54A3D"/>
    <w:rsid w:val="00F54CB0"/>
    <w:rsid w:val="00F55548"/>
    <w:rsid w:val="00F579CD"/>
    <w:rsid w:val="00F60B2C"/>
    <w:rsid w:val="00F61ECD"/>
    <w:rsid w:val="00F6507A"/>
    <w:rsid w:val="00F653B8"/>
    <w:rsid w:val="00F65A26"/>
    <w:rsid w:val="00F71B89"/>
    <w:rsid w:val="00F7353C"/>
    <w:rsid w:val="00F76F8F"/>
    <w:rsid w:val="00F801D0"/>
    <w:rsid w:val="00F84AE2"/>
    <w:rsid w:val="00F87048"/>
    <w:rsid w:val="00F87257"/>
    <w:rsid w:val="00F919BD"/>
    <w:rsid w:val="00F941DF"/>
    <w:rsid w:val="00FA0E81"/>
    <w:rsid w:val="00FA1266"/>
    <w:rsid w:val="00FA4E2C"/>
    <w:rsid w:val="00FB2616"/>
    <w:rsid w:val="00FB36FA"/>
    <w:rsid w:val="00FC0D2A"/>
    <w:rsid w:val="00FC1192"/>
    <w:rsid w:val="00FC11E1"/>
    <w:rsid w:val="00FD51A9"/>
    <w:rsid w:val="00FE106D"/>
    <w:rsid w:val="00FE251B"/>
    <w:rsid w:val="044FC4F6"/>
    <w:rsid w:val="08CD5EB8"/>
    <w:rsid w:val="0E54E426"/>
    <w:rsid w:val="12BBAECE"/>
    <w:rsid w:val="20ACECEC"/>
    <w:rsid w:val="295D9459"/>
    <w:rsid w:val="3D0D32F8"/>
    <w:rsid w:val="4BBF2292"/>
    <w:rsid w:val="4F78D2C1"/>
    <w:rsid w:val="730F6E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446867EC-22F9-4293-9B77-BFCAA1307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qFormat/>
    <w:rsid w:val="005E0DF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E0DFD"/>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E0DFD"/>
    <w:rPr>
      <w:lang w:eastAsia="en-US"/>
    </w:rPr>
  </w:style>
  <w:style w:type="character" w:customStyle="1" w:styleId="THChar">
    <w:name w:val="TH Char"/>
    <w:link w:val="TH"/>
    <w:qFormat/>
    <w:rsid w:val="005E0DFD"/>
    <w:rPr>
      <w:rFonts w:ascii="Arial" w:hAnsi="Arial"/>
      <w:b/>
      <w:lang w:eastAsia="en-US"/>
    </w:rPr>
  </w:style>
  <w:style w:type="character" w:customStyle="1" w:styleId="TANChar">
    <w:name w:val="TAN Char"/>
    <w:link w:val="TAN"/>
    <w:qFormat/>
    <w:locked/>
    <w:rsid w:val="005E0DFD"/>
    <w:rPr>
      <w:rFonts w:ascii="Arial" w:hAnsi="Arial"/>
      <w:sz w:val="18"/>
      <w:lang w:eastAsia="en-US"/>
    </w:rPr>
  </w:style>
  <w:style w:type="paragraph" w:customStyle="1" w:styleId="title1">
    <w:name w:val="title 1"/>
    <w:basedOn w:val="Heading1"/>
    <w:next w:val="Normal"/>
    <w:qFormat/>
    <w:rsid w:val="005E0DFD"/>
    <w:pPr>
      <w:numPr>
        <w:numId w:val="19"/>
      </w:numPr>
      <w:tabs>
        <w:tab w:val="num" w:pos="360"/>
      </w:tabs>
      <w:overflowPunct w:val="0"/>
      <w:autoSpaceDE w:val="0"/>
      <w:autoSpaceDN w:val="0"/>
      <w:adjustRightInd w:val="0"/>
      <w:spacing w:beforeLines="50" w:before="0" w:afterLines="50" w:after="0"/>
    </w:pPr>
    <w:rPr>
      <w:rFonts w:eastAsia="SimSun"/>
      <w:lang w:val="en-US" w:eastAsia="zh-CN"/>
    </w:rPr>
  </w:style>
  <w:style w:type="character" w:customStyle="1" w:styleId="title2Char">
    <w:name w:val="title 2 Char"/>
    <w:link w:val="title2"/>
    <w:locked/>
    <w:rsid w:val="005E0DFD"/>
    <w:rPr>
      <w:rFonts w:ascii="Arial" w:eastAsia="Arial" w:hAnsi="Arial" w:cs="Arial"/>
      <w:bCs/>
      <w:iCs/>
      <w:sz w:val="28"/>
      <w:szCs w:val="28"/>
    </w:rPr>
  </w:style>
  <w:style w:type="paragraph" w:customStyle="1" w:styleId="title2">
    <w:name w:val="title 2"/>
    <w:basedOn w:val="Heading2"/>
    <w:next w:val="Normal"/>
    <w:link w:val="title2Char"/>
    <w:qFormat/>
    <w:rsid w:val="005E0DFD"/>
    <w:pPr>
      <w:keepLines w:val="0"/>
      <w:numPr>
        <w:ilvl w:val="1"/>
        <w:numId w:val="19"/>
      </w:numPr>
      <w:spacing w:before="120" w:after="60"/>
      <w:jc w:val="both"/>
    </w:pPr>
    <w:rPr>
      <w:rFonts w:eastAsia="Arial" w:cs="Arial"/>
      <w:bCs/>
      <w:iCs/>
      <w:sz w:val="28"/>
      <w:szCs w:val="28"/>
      <w:lang w:eastAsia="en-GB"/>
    </w:rPr>
  </w:style>
  <w:style w:type="paragraph" w:customStyle="1" w:styleId="title3">
    <w:name w:val="title 3"/>
    <w:basedOn w:val="title2"/>
    <w:next w:val="Normal"/>
    <w:qFormat/>
    <w:rsid w:val="005E0DFD"/>
    <w:pPr>
      <w:numPr>
        <w:ilvl w:val="2"/>
      </w:numPr>
      <w:tabs>
        <w:tab w:val="num" w:pos="360"/>
        <w:tab w:val="num" w:pos="2160"/>
      </w:tabs>
      <w:ind w:left="2869" w:hanging="360"/>
      <w:outlineLvl w:val="2"/>
    </w:pPr>
    <w:rPr>
      <w:sz w:val="22"/>
    </w:rPr>
  </w:style>
  <w:style w:type="character" w:customStyle="1" w:styleId="ui-provider">
    <w:name w:val="ui-provider"/>
    <w:basedOn w:val="DefaultParagraphFont"/>
    <w:rsid w:val="00BA002A"/>
  </w:style>
  <w:style w:type="table" w:customStyle="1" w:styleId="TableGrid1">
    <w:name w:val="Table Grid1"/>
    <w:basedOn w:val="TableNormal"/>
    <w:next w:val="TableGrid"/>
    <w:uiPriority w:val="39"/>
    <w:qFormat/>
    <w:rsid w:val="00B3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3D71AA"/>
    <w:rPr>
      <w:lang w:eastAsia="en-US"/>
    </w:rPr>
  </w:style>
  <w:style w:type="character" w:customStyle="1" w:styleId="B2Char">
    <w:name w:val="B2 Char"/>
    <w:link w:val="B2"/>
    <w:qFormat/>
    <w:rsid w:val="003D71AA"/>
    <w:rPr>
      <w:lang w:eastAsia="en-US"/>
    </w:rPr>
  </w:style>
  <w:style w:type="character" w:customStyle="1" w:styleId="cf01">
    <w:name w:val="cf01"/>
    <w:basedOn w:val="DefaultParagraphFont"/>
    <w:qFormat/>
    <w:rsid w:val="003D71AA"/>
    <w:rPr>
      <w:rFonts w:ascii="Segoe UI" w:hAnsi="Segoe UI" w:cs="Segoe UI" w:hint="default"/>
      <w:sz w:val="18"/>
      <w:szCs w:val="18"/>
    </w:rPr>
  </w:style>
  <w:style w:type="character" w:customStyle="1" w:styleId="NOChar">
    <w:name w:val="NO Char"/>
    <w:link w:val="NO"/>
    <w:qFormat/>
    <w:rsid w:val="003D71AA"/>
    <w:rPr>
      <w:lang w:eastAsia="en-US"/>
    </w:rPr>
  </w:style>
  <w:style w:type="character" w:styleId="CommentReference">
    <w:name w:val="annotation reference"/>
    <w:basedOn w:val="DefaultParagraphFont"/>
    <w:rsid w:val="007E3437"/>
    <w:rPr>
      <w:sz w:val="16"/>
      <w:szCs w:val="16"/>
    </w:rPr>
  </w:style>
  <w:style w:type="character" w:styleId="Mention">
    <w:name w:val="Mention"/>
    <w:basedOn w:val="DefaultParagraphFont"/>
    <w:uiPriority w:val="99"/>
    <w:unhideWhenUsed/>
    <w:rsid w:val="002D0526"/>
    <w:rPr>
      <w:color w:val="2B579A"/>
      <w:shd w:val="clear" w:color="auto" w:fill="E1DFDD"/>
    </w:rPr>
  </w:style>
  <w:style w:type="paragraph" w:styleId="Revision">
    <w:name w:val="Revision"/>
    <w:hidden/>
    <w:uiPriority w:val="99"/>
    <w:semiHidden/>
    <w:rsid w:val="00B900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61971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1828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6424032">
      <w:bodyDiv w:val="1"/>
      <w:marLeft w:val="0"/>
      <w:marRight w:val="0"/>
      <w:marTop w:val="0"/>
      <w:marBottom w:val="0"/>
      <w:divBdr>
        <w:top w:val="none" w:sz="0" w:space="0" w:color="auto"/>
        <w:left w:val="none" w:sz="0" w:space="0" w:color="auto"/>
        <w:bottom w:val="none" w:sz="0" w:space="0" w:color="auto"/>
        <w:right w:val="none" w:sz="0" w:space="0" w:color="auto"/>
      </w:divBdr>
    </w:div>
    <w:div w:id="1634946888">
      <w:bodyDiv w:val="1"/>
      <w:marLeft w:val="0"/>
      <w:marRight w:val="0"/>
      <w:marTop w:val="0"/>
      <w:marBottom w:val="0"/>
      <w:divBdr>
        <w:top w:val="none" w:sz="0" w:space="0" w:color="auto"/>
        <w:left w:val="none" w:sz="0" w:space="0" w:color="auto"/>
        <w:bottom w:val="none" w:sz="0" w:space="0" w:color="auto"/>
        <w:right w:val="none" w:sz="0" w:space="0" w:color="auto"/>
      </w:divBdr>
    </w:div>
    <w:div w:id="1776095668">
      <w:bodyDiv w:val="1"/>
      <w:marLeft w:val="0"/>
      <w:marRight w:val="0"/>
      <w:marTop w:val="0"/>
      <w:marBottom w:val="0"/>
      <w:divBdr>
        <w:top w:val="none" w:sz="0" w:space="0" w:color="auto"/>
        <w:left w:val="none" w:sz="0" w:space="0" w:color="auto"/>
        <w:bottom w:val="none" w:sz="0" w:space="0" w:color="auto"/>
        <w:right w:val="none" w:sz="0" w:space="0" w:color="auto"/>
      </w:divBdr>
      <w:divsChild>
        <w:div w:id="89281441">
          <w:marLeft w:val="0"/>
          <w:marRight w:val="0"/>
          <w:marTop w:val="0"/>
          <w:marBottom w:val="0"/>
          <w:divBdr>
            <w:top w:val="none" w:sz="0" w:space="0" w:color="auto"/>
            <w:left w:val="none" w:sz="0" w:space="0" w:color="auto"/>
            <w:bottom w:val="none" w:sz="0" w:space="0" w:color="auto"/>
            <w:right w:val="none" w:sz="0" w:space="0" w:color="auto"/>
          </w:divBdr>
        </w:div>
        <w:div w:id="581597882">
          <w:marLeft w:val="0"/>
          <w:marRight w:val="0"/>
          <w:marTop w:val="0"/>
          <w:marBottom w:val="0"/>
          <w:divBdr>
            <w:top w:val="none" w:sz="0" w:space="0" w:color="auto"/>
            <w:left w:val="none" w:sz="0" w:space="0" w:color="auto"/>
            <w:bottom w:val="none" w:sz="0" w:space="0" w:color="auto"/>
            <w:right w:val="none" w:sz="0" w:space="0" w:color="auto"/>
          </w:divBdr>
        </w:div>
        <w:div w:id="664476320">
          <w:marLeft w:val="0"/>
          <w:marRight w:val="0"/>
          <w:marTop w:val="0"/>
          <w:marBottom w:val="0"/>
          <w:divBdr>
            <w:top w:val="none" w:sz="0" w:space="0" w:color="auto"/>
            <w:left w:val="none" w:sz="0" w:space="0" w:color="auto"/>
            <w:bottom w:val="none" w:sz="0" w:space="0" w:color="auto"/>
            <w:right w:val="none" w:sz="0" w:space="0" w:color="auto"/>
          </w:divBdr>
        </w:div>
        <w:div w:id="761292561">
          <w:marLeft w:val="0"/>
          <w:marRight w:val="0"/>
          <w:marTop w:val="0"/>
          <w:marBottom w:val="0"/>
          <w:divBdr>
            <w:top w:val="none" w:sz="0" w:space="0" w:color="auto"/>
            <w:left w:val="none" w:sz="0" w:space="0" w:color="auto"/>
            <w:bottom w:val="none" w:sz="0" w:space="0" w:color="auto"/>
            <w:right w:val="none" w:sz="0" w:space="0" w:color="auto"/>
          </w:divBdr>
        </w:div>
        <w:div w:id="1095054150">
          <w:marLeft w:val="0"/>
          <w:marRight w:val="0"/>
          <w:marTop w:val="0"/>
          <w:marBottom w:val="0"/>
          <w:divBdr>
            <w:top w:val="none" w:sz="0" w:space="0" w:color="auto"/>
            <w:left w:val="none" w:sz="0" w:space="0" w:color="auto"/>
            <w:bottom w:val="none" w:sz="0" w:space="0" w:color="auto"/>
            <w:right w:val="none" w:sz="0" w:space="0" w:color="auto"/>
          </w:divBdr>
        </w:div>
        <w:div w:id="1261908357">
          <w:marLeft w:val="0"/>
          <w:marRight w:val="0"/>
          <w:marTop w:val="0"/>
          <w:marBottom w:val="0"/>
          <w:divBdr>
            <w:top w:val="none" w:sz="0" w:space="0" w:color="auto"/>
            <w:left w:val="none" w:sz="0" w:space="0" w:color="auto"/>
            <w:bottom w:val="none" w:sz="0" w:space="0" w:color="auto"/>
            <w:right w:val="none" w:sz="0" w:space="0" w:color="auto"/>
          </w:divBdr>
        </w:div>
        <w:div w:id="1632513512">
          <w:marLeft w:val="0"/>
          <w:marRight w:val="0"/>
          <w:marTop w:val="0"/>
          <w:marBottom w:val="0"/>
          <w:divBdr>
            <w:top w:val="none" w:sz="0" w:space="0" w:color="auto"/>
            <w:left w:val="none" w:sz="0" w:space="0" w:color="auto"/>
            <w:bottom w:val="none" w:sz="0" w:space="0" w:color="auto"/>
            <w:right w:val="none" w:sz="0" w:space="0" w:color="auto"/>
          </w:divBdr>
        </w:div>
      </w:divsChild>
    </w:div>
    <w:div w:id="1912613740">
      <w:bodyDiv w:val="1"/>
      <w:marLeft w:val="0"/>
      <w:marRight w:val="0"/>
      <w:marTop w:val="0"/>
      <w:marBottom w:val="0"/>
      <w:divBdr>
        <w:top w:val="none" w:sz="0" w:space="0" w:color="auto"/>
        <w:left w:val="none" w:sz="0" w:space="0" w:color="auto"/>
        <w:bottom w:val="none" w:sz="0" w:space="0" w:color="auto"/>
        <w:right w:val="none" w:sz="0" w:space="0" w:color="auto"/>
      </w:divBdr>
    </w:div>
    <w:div w:id="1929729069">
      <w:bodyDiv w:val="1"/>
      <w:marLeft w:val="0"/>
      <w:marRight w:val="0"/>
      <w:marTop w:val="0"/>
      <w:marBottom w:val="0"/>
      <w:divBdr>
        <w:top w:val="none" w:sz="0" w:space="0" w:color="auto"/>
        <w:left w:val="none" w:sz="0" w:space="0" w:color="auto"/>
        <w:bottom w:val="none" w:sz="0" w:space="0" w:color="auto"/>
        <w:right w:val="none" w:sz="0" w:space="0" w:color="auto"/>
      </w:divBdr>
      <w:divsChild>
        <w:div w:id="163935267">
          <w:marLeft w:val="0"/>
          <w:marRight w:val="0"/>
          <w:marTop w:val="0"/>
          <w:marBottom w:val="0"/>
          <w:divBdr>
            <w:top w:val="none" w:sz="0" w:space="0" w:color="auto"/>
            <w:left w:val="none" w:sz="0" w:space="0" w:color="auto"/>
            <w:bottom w:val="none" w:sz="0" w:space="0" w:color="auto"/>
            <w:right w:val="none" w:sz="0" w:space="0" w:color="auto"/>
          </w:divBdr>
        </w:div>
        <w:div w:id="517278991">
          <w:marLeft w:val="0"/>
          <w:marRight w:val="0"/>
          <w:marTop w:val="0"/>
          <w:marBottom w:val="0"/>
          <w:divBdr>
            <w:top w:val="none" w:sz="0" w:space="0" w:color="auto"/>
            <w:left w:val="none" w:sz="0" w:space="0" w:color="auto"/>
            <w:bottom w:val="none" w:sz="0" w:space="0" w:color="auto"/>
            <w:right w:val="none" w:sz="0" w:space="0" w:color="auto"/>
          </w:divBdr>
        </w:div>
        <w:div w:id="650253008">
          <w:marLeft w:val="0"/>
          <w:marRight w:val="0"/>
          <w:marTop w:val="0"/>
          <w:marBottom w:val="0"/>
          <w:divBdr>
            <w:top w:val="none" w:sz="0" w:space="0" w:color="auto"/>
            <w:left w:val="none" w:sz="0" w:space="0" w:color="auto"/>
            <w:bottom w:val="none" w:sz="0" w:space="0" w:color="auto"/>
            <w:right w:val="none" w:sz="0" w:space="0" w:color="auto"/>
          </w:divBdr>
        </w:div>
        <w:div w:id="727848186">
          <w:marLeft w:val="0"/>
          <w:marRight w:val="0"/>
          <w:marTop w:val="0"/>
          <w:marBottom w:val="0"/>
          <w:divBdr>
            <w:top w:val="none" w:sz="0" w:space="0" w:color="auto"/>
            <w:left w:val="none" w:sz="0" w:space="0" w:color="auto"/>
            <w:bottom w:val="none" w:sz="0" w:space="0" w:color="auto"/>
            <w:right w:val="none" w:sz="0" w:space="0" w:color="auto"/>
          </w:divBdr>
        </w:div>
        <w:div w:id="973565240">
          <w:marLeft w:val="0"/>
          <w:marRight w:val="0"/>
          <w:marTop w:val="0"/>
          <w:marBottom w:val="0"/>
          <w:divBdr>
            <w:top w:val="none" w:sz="0" w:space="0" w:color="auto"/>
            <w:left w:val="none" w:sz="0" w:space="0" w:color="auto"/>
            <w:bottom w:val="none" w:sz="0" w:space="0" w:color="auto"/>
            <w:right w:val="none" w:sz="0" w:space="0" w:color="auto"/>
          </w:divBdr>
        </w:div>
        <w:div w:id="1344556481">
          <w:marLeft w:val="0"/>
          <w:marRight w:val="0"/>
          <w:marTop w:val="0"/>
          <w:marBottom w:val="0"/>
          <w:divBdr>
            <w:top w:val="none" w:sz="0" w:space="0" w:color="auto"/>
            <w:left w:val="none" w:sz="0" w:space="0" w:color="auto"/>
            <w:bottom w:val="none" w:sz="0" w:space="0" w:color="auto"/>
            <w:right w:val="none" w:sz="0" w:space="0" w:color="auto"/>
          </w:divBdr>
        </w:div>
        <w:div w:id="2133205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RBI5PAMIO524-1616901215-29514</_dlc_DocId>
    <_dlc_DocIdUrl xmlns="71c5aaf6-e6ce-465b-b873-5148d2a4c105">
      <Url>https://nokia.sharepoint.com/sites/gxp/_layouts/15/DocIdRedir.aspx?ID=RBI5PAMIO524-1616901215-29514</Url>
      <Description>RBI5PAMIO524-1616901215-29514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71c5aaf6-e6ce-465b-b873-5148d2a4c105"/>
    <ds:schemaRef ds:uri="3f2ce089-3858-4176-9a21-a30f9204848e"/>
    <ds:schemaRef ds:uri="http://schemas.openxmlformats.org/package/2006/metadata/core-properties"/>
    <ds:schemaRef ds:uri="7275bb01-7583-478d-bc14-e839a2dd5989"/>
    <ds:schemaRef ds:uri="http://purl.org/dc/term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elements/1.1/"/>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CF906202-0832-4F56-9AC1-5D2B1E3653F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1099</TotalTime>
  <Pages>7</Pages>
  <Words>2996</Words>
  <Characters>16626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282</cp:revision>
  <dcterms:created xsi:type="dcterms:W3CDTF">2016-08-12T13:53:00Z</dcterms:created>
  <dcterms:modified xsi:type="dcterms:W3CDTF">2024-10-02T18:53:00Z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b1b11bfc-0d16-40e6-904c-dd0ec9ab0013</vt:lpwstr>
  </property>
</Properties>
</file>